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B64D23B" w:rsidR="00A941DF" w:rsidRPr="00EE006E" w:rsidRDefault="007B2FB6"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#106</w:t>
      </w:r>
      <w:r w:rsidR="004719C3">
        <w:rPr>
          <w:b/>
          <w:sz w:val="24"/>
          <w:szCs w:val="24"/>
        </w:rPr>
        <w:t>-e</w:t>
      </w:r>
      <w:r w:rsidR="00A941DF" w:rsidRPr="00121C7F">
        <w:rPr>
          <w:rFonts w:hint="eastAsia"/>
          <w:b/>
          <w:sz w:val="24"/>
          <w:szCs w:val="24"/>
          <w:lang w:eastAsia="ko-KR"/>
        </w:rPr>
        <w:tab/>
      </w:r>
      <w:r w:rsidR="006722AB" w:rsidRPr="00691986">
        <w:rPr>
          <w:b/>
          <w:sz w:val="24"/>
          <w:szCs w:val="24"/>
          <w:lang w:eastAsia="ko-KR"/>
        </w:rPr>
        <w:t>R1-21</w:t>
      </w:r>
      <w:r w:rsidR="00691986" w:rsidRPr="00691986">
        <w:rPr>
          <w:b/>
          <w:sz w:val="24"/>
          <w:szCs w:val="24"/>
          <w:lang w:eastAsia="ko-KR"/>
        </w:rPr>
        <w:t>06878</w:t>
      </w:r>
    </w:p>
    <w:bookmarkEnd w:id="0"/>
    <w:bookmarkEnd w:id="1"/>
    <w:p w14:paraId="38D4F591" w14:textId="4C816426"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7B2FB6">
        <w:rPr>
          <w:rFonts w:ascii="Arial" w:hAnsi="Arial"/>
          <w:b/>
          <w:bCs/>
          <w:noProof/>
          <w:sz w:val="24"/>
          <w:szCs w:val="24"/>
        </w:rPr>
        <w:t>August 16</w:t>
      </w:r>
      <w:r w:rsidR="00247677">
        <w:rPr>
          <w:rFonts w:ascii="Arial" w:hAnsi="Arial"/>
          <w:b/>
          <w:bCs/>
          <w:noProof/>
          <w:sz w:val="24"/>
          <w:szCs w:val="24"/>
        </w:rPr>
        <w:t>th – 27</w:t>
      </w:r>
      <w:r w:rsidR="00786192">
        <w:rPr>
          <w:rFonts w:ascii="Arial" w:hAnsi="Arial"/>
          <w:b/>
          <w:bCs/>
          <w:noProof/>
          <w:sz w:val="24"/>
          <w:szCs w:val="24"/>
        </w:rPr>
        <w:t>th</w:t>
      </w:r>
      <w:r w:rsidR="006722AB">
        <w:rPr>
          <w:rFonts w:ascii="Arial" w:hAnsi="Arial"/>
          <w:b/>
          <w:bCs/>
          <w:noProof/>
          <w:sz w:val="24"/>
          <w:szCs w:val="24"/>
        </w:rPr>
        <w:t>, 2021</w:t>
      </w:r>
    </w:p>
    <w:p w14:paraId="08664EDD" w14:textId="46AC67D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05D5">
        <w:rPr>
          <w:rFonts w:ascii="Arial" w:hAnsi="Arial"/>
          <w:sz w:val="24"/>
        </w:rPr>
        <w:t>8.2.6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376D3D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05D5">
        <w:rPr>
          <w:rFonts w:ascii="Arial" w:hAnsi="Arial"/>
          <w:sz w:val="24"/>
        </w:rPr>
        <w:t xml:space="preserve">Channel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784F3F8" w14:textId="09A06F31" w:rsidR="00DD05D5" w:rsidRDefault="007B2FB6" w:rsidP="007851E0">
      <w:pPr>
        <w:jc w:val="both"/>
        <w:rPr>
          <w:lang w:val="en-US"/>
        </w:rPr>
      </w:pPr>
      <w:r>
        <w:rPr>
          <w:lang w:val="en-US"/>
        </w:rPr>
        <w:t>In RAN1#105</w:t>
      </w:r>
      <w:r w:rsidR="00786192" w:rsidRPr="00786192">
        <w:rPr>
          <w:lang w:val="en-US"/>
        </w:rPr>
        <w:t xml:space="preserve">-e, the following agreements have been made regarding the </w:t>
      </w:r>
      <w:r w:rsidR="00786192">
        <w:rPr>
          <w:lang w:val="en-US"/>
        </w:rPr>
        <w:t>channel</w:t>
      </w:r>
      <w:r w:rsidR="00786192" w:rsidRPr="00786192">
        <w:rPr>
          <w:lang w:val="en-US"/>
        </w:rPr>
        <w:t xml:space="preserve"> access </w:t>
      </w:r>
      <w:r w:rsidR="00786192">
        <w:rPr>
          <w:lang w:val="en-US"/>
        </w:rPr>
        <w:t>mechanism</w:t>
      </w:r>
      <w:r w:rsidR="00786192" w:rsidRPr="00786192">
        <w:rPr>
          <w:lang w:val="en-US"/>
        </w:rPr>
        <w:t xml:space="preserve"> for 52.6 to 71 GHz [1]: </w:t>
      </w:r>
    </w:p>
    <w:p w14:paraId="4AFC97A1" w14:textId="77777777" w:rsidR="00C922A1" w:rsidRDefault="00C922A1" w:rsidP="00C922A1">
      <w:pPr>
        <w:spacing w:after="0"/>
        <w:rPr>
          <w:lang w:eastAsia="x-none"/>
        </w:rPr>
      </w:pPr>
      <w:r w:rsidRPr="00BF31C0">
        <w:rPr>
          <w:highlight w:val="green"/>
          <w:lang w:eastAsia="x-none"/>
        </w:rPr>
        <w:t>Agreement:</w:t>
      </w:r>
    </w:p>
    <w:p w14:paraId="5751DB05" w14:textId="77777777" w:rsidR="00C922A1" w:rsidRDefault="00C922A1" w:rsidP="00C922A1">
      <w:pPr>
        <w:spacing w:after="0"/>
        <w:rPr>
          <w:rFonts w:cs="Times"/>
        </w:rPr>
      </w:pPr>
      <w:r>
        <w:rPr>
          <w:rFonts w:cs="Times"/>
        </w:rPr>
        <w:t>For energy measurement in</w:t>
      </w:r>
      <w:r>
        <w:rPr>
          <w:rFonts w:cs="Times"/>
          <w:color w:val="FF0000"/>
        </w:rPr>
        <w:t xml:space="preserve"> </w:t>
      </w:r>
      <w:r>
        <w:rPr>
          <w:rFonts w:cs="Times"/>
        </w:rPr>
        <w:t>8us deferral period, continue down-selection between the following alternatives</w:t>
      </w:r>
    </w:p>
    <w:p w14:paraId="7A4C3F5B" w14:textId="77777777" w:rsidR="00C922A1" w:rsidRPr="00BF31C0" w:rsidRDefault="00C922A1" w:rsidP="00C922A1">
      <w:pPr>
        <w:pStyle w:val="ListParagraph"/>
        <w:numPr>
          <w:ilvl w:val="0"/>
          <w:numId w:val="12"/>
        </w:numPr>
        <w:overflowPunct w:val="0"/>
        <w:snapToGrid w:val="0"/>
        <w:spacing w:after="0"/>
        <w:ind w:leftChars="0"/>
        <w:rPr>
          <w:rFonts w:cs="Times"/>
        </w:rPr>
      </w:pPr>
      <w:r>
        <w:rPr>
          <w:rFonts w:cs="Times"/>
        </w:rPr>
        <w:t>Alt 1. Two energy measurements are required, with one measurement in the first 3us and one measurement in the last 5us</w:t>
      </w:r>
    </w:p>
    <w:p w14:paraId="5A277F84" w14:textId="77777777" w:rsidR="00C922A1" w:rsidRDefault="00C922A1" w:rsidP="00C922A1">
      <w:pPr>
        <w:pStyle w:val="ListParagraph"/>
        <w:numPr>
          <w:ilvl w:val="0"/>
          <w:numId w:val="12"/>
        </w:numPr>
        <w:overflowPunct w:val="0"/>
        <w:snapToGrid w:val="0"/>
        <w:spacing w:after="0"/>
        <w:ind w:leftChars="0"/>
        <w:rPr>
          <w:rFonts w:cs="Times"/>
        </w:rPr>
      </w:pPr>
      <w:r>
        <w:rPr>
          <w:rFonts w:cs="Times"/>
        </w:rPr>
        <w:t>Alt 2. One measurement is required</w:t>
      </w:r>
    </w:p>
    <w:p w14:paraId="3853D5BA" w14:textId="77777777" w:rsidR="00C922A1" w:rsidRDefault="00C922A1" w:rsidP="00C922A1">
      <w:pPr>
        <w:pStyle w:val="ListParagraph"/>
        <w:numPr>
          <w:ilvl w:val="1"/>
          <w:numId w:val="12"/>
        </w:numPr>
        <w:overflowPunct w:val="0"/>
        <w:snapToGrid w:val="0"/>
        <w:spacing w:after="0"/>
        <w:ind w:leftChars="0"/>
        <w:rPr>
          <w:rFonts w:cs="Times"/>
        </w:rPr>
      </w:pPr>
      <w:r>
        <w:rPr>
          <w:rFonts w:cs="Times"/>
        </w:rPr>
        <w:t>FFS where the measurement is located</w:t>
      </w:r>
    </w:p>
    <w:p w14:paraId="033B1432" w14:textId="77777777" w:rsidR="00C922A1" w:rsidRDefault="00C922A1" w:rsidP="00C922A1">
      <w:pPr>
        <w:snapToGrid w:val="0"/>
        <w:spacing w:after="0"/>
        <w:rPr>
          <w:rFonts w:cs="Times"/>
        </w:rPr>
      </w:pPr>
      <w:r>
        <w:rPr>
          <w:rFonts w:cs="Times"/>
        </w:rPr>
        <w:t>Note: By implementation, it is possible to support longer than 8us deferral period (Intend to cover Alt 3 as implementation choice for either Alt 1 or Alt 2)</w:t>
      </w:r>
    </w:p>
    <w:p w14:paraId="0C826A8E" w14:textId="77777777" w:rsidR="00C922A1" w:rsidRDefault="00C922A1" w:rsidP="00C922A1">
      <w:pPr>
        <w:spacing w:after="0"/>
        <w:rPr>
          <w:lang w:eastAsia="x-none"/>
        </w:rPr>
      </w:pPr>
    </w:p>
    <w:p w14:paraId="023E7966" w14:textId="77777777" w:rsidR="00C922A1" w:rsidRDefault="00C922A1" w:rsidP="00C922A1">
      <w:pPr>
        <w:spacing w:after="0"/>
        <w:rPr>
          <w:lang w:eastAsia="x-none"/>
        </w:rPr>
      </w:pPr>
      <w:r w:rsidRPr="00BF31C0">
        <w:rPr>
          <w:highlight w:val="green"/>
          <w:lang w:eastAsia="x-none"/>
        </w:rPr>
        <w:t>Agreement:</w:t>
      </w:r>
    </w:p>
    <w:p w14:paraId="31C3DDD1" w14:textId="77777777" w:rsidR="00C922A1" w:rsidRPr="00BF31C0" w:rsidRDefault="00C922A1" w:rsidP="00C922A1">
      <w:pPr>
        <w:spacing w:after="0"/>
        <w:rPr>
          <w:rFonts w:cs="Times"/>
        </w:rPr>
      </w:pPr>
      <w:r>
        <w:rPr>
          <w:rFonts w:cs="Times"/>
        </w:rPr>
        <w:t xml:space="preserve">On maximum gap within a COT to allow COT sharing without LBT, </w:t>
      </w:r>
      <w:r w:rsidRPr="00BF31C0">
        <w:rPr>
          <w:rFonts w:cs="Times"/>
        </w:rPr>
        <w:t>down-select or support both of the following two alternatives</w:t>
      </w:r>
    </w:p>
    <w:p w14:paraId="4221661C" w14:textId="77777777" w:rsidR="00C922A1" w:rsidRPr="00BF31C0" w:rsidRDefault="00C922A1" w:rsidP="00C922A1">
      <w:pPr>
        <w:pStyle w:val="ListParagraph"/>
        <w:numPr>
          <w:ilvl w:val="0"/>
          <w:numId w:val="12"/>
        </w:numPr>
        <w:kinsoku w:val="0"/>
        <w:overflowPunct w:val="0"/>
        <w:adjustRightInd w:val="0"/>
        <w:spacing w:after="0"/>
        <w:ind w:leftChars="0"/>
        <w:textAlignment w:val="baseline"/>
        <w:rPr>
          <w:rFonts w:cs="Times"/>
        </w:rPr>
      </w:pPr>
      <w:r w:rsidRPr="00BF31C0">
        <w:rPr>
          <w:rFonts w:cs="Times"/>
        </w:rPr>
        <w:t>Alt 1. No maximum gap defined. A later transmission can share the COT without LBT with any gap within the maximum COT duration</w:t>
      </w:r>
    </w:p>
    <w:p w14:paraId="16571931" w14:textId="77777777" w:rsidR="00C922A1" w:rsidRPr="00BF31C0" w:rsidRDefault="00C922A1" w:rsidP="00C922A1">
      <w:pPr>
        <w:pStyle w:val="ListParagraph"/>
        <w:numPr>
          <w:ilvl w:val="0"/>
          <w:numId w:val="12"/>
        </w:numPr>
        <w:overflowPunct w:val="0"/>
        <w:snapToGrid w:val="0"/>
        <w:spacing w:after="0"/>
        <w:ind w:leftChars="0"/>
        <w:rPr>
          <w:rFonts w:eastAsia="Calibri" w:cs="Times"/>
        </w:rPr>
      </w:pPr>
      <w:r w:rsidRPr="00BF31C0">
        <w:rPr>
          <w:rFonts w:cs="Time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8A2A36E" w14:textId="77777777" w:rsidR="00C922A1" w:rsidRDefault="00C922A1" w:rsidP="00C922A1">
      <w:pPr>
        <w:spacing w:after="0"/>
        <w:rPr>
          <w:lang w:eastAsia="x-none"/>
        </w:rPr>
      </w:pPr>
    </w:p>
    <w:p w14:paraId="4264A36E" w14:textId="77777777" w:rsidR="00C922A1" w:rsidRDefault="00C922A1" w:rsidP="00C922A1">
      <w:pPr>
        <w:spacing w:after="0"/>
        <w:rPr>
          <w:lang w:eastAsia="x-none"/>
        </w:rPr>
      </w:pPr>
      <w:r w:rsidRPr="004321C2">
        <w:rPr>
          <w:highlight w:val="green"/>
          <w:lang w:eastAsia="x-none"/>
        </w:rPr>
        <w:t>Agreement:</w:t>
      </w:r>
    </w:p>
    <w:p w14:paraId="29DE7F17" w14:textId="77777777" w:rsidR="00C922A1" w:rsidRDefault="00C922A1" w:rsidP="00C922A1">
      <w:pPr>
        <w:spacing w:after="0"/>
      </w:pPr>
      <w:r>
        <w:t>For regions where LBT is not mandated, gNB should indicate to the UE this gNB-UE connection is operating in LBT mode or no-LBT mode</w:t>
      </w:r>
    </w:p>
    <w:p w14:paraId="57BE5DCF" w14:textId="77777777" w:rsidR="00C922A1" w:rsidRDefault="00C922A1" w:rsidP="00C922A1">
      <w:pPr>
        <w:pStyle w:val="ListParagraph"/>
        <w:numPr>
          <w:ilvl w:val="0"/>
          <w:numId w:val="15"/>
        </w:numPr>
        <w:kinsoku w:val="0"/>
        <w:overflowPunct w:val="0"/>
        <w:adjustRightInd w:val="0"/>
        <w:spacing w:after="0"/>
        <w:ind w:leftChars="0" w:left="360"/>
        <w:textAlignment w:val="baseline"/>
      </w:pPr>
      <w:r>
        <w:t>Support both cell specific (common for all UEs in a cell as part of system information or dedicated RRC signalling or both) and UE specific (can be different for different UEs in a cell as part of UE-specific RRC configuration) gNB indication</w:t>
      </w:r>
    </w:p>
    <w:p w14:paraId="52EFCE7F" w14:textId="77777777" w:rsidR="00C922A1" w:rsidRDefault="00C922A1" w:rsidP="00C922A1">
      <w:pPr>
        <w:spacing w:after="0"/>
        <w:rPr>
          <w:lang w:eastAsia="x-none"/>
        </w:rPr>
      </w:pPr>
    </w:p>
    <w:p w14:paraId="54D1C889" w14:textId="77777777" w:rsidR="00C922A1" w:rsidRDefault="00C922A1" w:rsidP="00C922A1">
      <w:pPr>
        <w:spacing w:after="0"/>
        <w:rPr>
          <w:lang w:eastAsia="x-none"/>
        </w:rPr>
      </w:pPr>
      <w:r w:rsidRPr="00F73383">
        <w:rPr>
          <w:highlight w:val="green"/>
          <w:lang w:eastAsia="x-none"/>
        </w:rPr>
        <w:t>Agreement:</w:t>
      </w:r>
    </w:p>
    <w:p w14:paraId="0F0706EA" w14:textId="77777777" w:rsidR="00C922A1" w:rsidRPr="00291106" w:rsidRDefault="00C922A1" w:rsidP="00C922A1">
      <w:pPr>
        <w:pStyle w:val="ListParagraph"/>
        <w:numPr>
          <w:ilvl w:val="0"/>
          <w:numId w:val="12"/>
        </w:numPr>
        <w:kinsoku w:val="0"/>
        <w:overflowPunct w:val="0"/>
        <w:adjustRightInd w:val="0"/>
        <w:spacing w:after="0"/>
        <w:ind w:leftChars="0"/>
        <w:textAlignment w:val="baseline"/>
        <w:rPr>
          <w:lang w:eastAsia="en-US"/>
        </w:rPr>
      </w:pPr>
      <w:r w:rsidRPr="00291106">
        <w:rPr>
          <w:lang w:eastAsia="en-US"/>
        </w:rPr>
        <w:t>Contention Exempt Short Control Signaling rules apply to the transmission of msg1 for the 4 step RACH and MsgA for the 2-step RACH for all supported SCS.</w:t>
      </w:r>
    </w:p>
    <w:p w14:paraId="1BA0FC01" w14:textId="77777777" w:rsidR="00C922A1" w:rsidRPr="00291106" w:rsidRDefault="00C922A1" w:rsidP="00C922A1">
      <w:pPr>
        <w:pStyle w:val="ListParagraph"/>
        <w:numPr>
          <w:ilvl w:val="1"/>
          <w:numId w:val="12"/>
        </w:numPr>
        <w:kinsoku w:val="0"/>
        <w:overflowPunct w:val="0"/>
        <w:adjustRightInd w:val="0"/>
        <w:spacing w:after="0"/>
        <w:ind w:leftChars="0"/>
        <w:textAlignment w:val="baseline"/>
        <w:rPr>
          <w:lang w:eastAsia="en-US"/>
        </w:rPr>
      </w:pPr>
      <w:r w:rsidRPr="00291106">
        <w:rPr>
          <w:lang w:eastAsia="en-US"/>
        </w:rPr>
        <w:t>Note restriction for short control signalling transmissions apply (10% over any 100ms intervals)</w:t>
      </w:r>
    </w:p>
    <w:p w14:paraId="09F0604C" w14:textId="77777777" w:rsidR="00C922A1" w:rsidRPr="00291106" w:rsidRDefault="00C922A1" w:rsidP="00C922A1">
      <w:pPr>
        <w:pStyle w:val="ListParagraph"/>
        <w:numPr>
          <w:ilvl w:val="1"/>
          <w:numId w:val="12"/>
        </w:numPr>
        <w:kinsoku w:val="0"/>
        <w:overflowPunct w:val="0"/>
        <w:adjustRightInd w:val="0"/>
        <w:spacing w:after="0"/>
        <w:ind w:leftChars="0"/>
        <w:textAlignment w:val="baseline"/>
        <w:rPr>
          <w:lang w:eastAsia="en-US"/>
        </w:rPr>
      </w:pPr>
      <w:r w:rsidRPr="00291106">
        <w:rPr>
          <w:lang w:eastAsia="en-US"/>
        </w:rPr>
        <w:t>Alt 1: The 10% over any 100ms interval restriction is applicable to all available msg1/msgA resources configured (not limited to the resources actually used) in a cell</w:t>
      </w:r>
    </w:p>
    <w:p w14:paraId="65AB0458" w14:textId="77777777" w:rsidR="00C922A1" w:rsidRPr="00291106" w:rsidRDefault="00C922A1" w:rsidP="00C922A1">
      <w:pPr>
        <w:pStyle w:val="ListParagraph"/>
        <w:numPr>
          <w:ilvl w:val="1"/>
          <w:numId w:val="12"/>
        </w:numPr>
        <w:kinsoku w:val="0"/>
        <w:overflowPunct w:val="0"/>
        <w:adjustRightInd w:val="0"/>
        <w:spacing w:after="0"/>
        <w:ind w:leftChars="0"/>
        <w:textAlignment w:val="baseline"/>
        <w:rPr>
          <w:lang w:eastAsia="en-US"/>
        </w:rPr>
      </w:pPr>
      <w:r w:rsidRPr="00291106">
        <w:rPr>
          <w:lang w:eastAsia="en-US"/>
        </w:rPr>
        <w:t>Alt 2: The 10% over any 100ms interval restriction is applicable to the msg1/msgA transmission from one UE perspective</w:t>
      </w:r>
    </w:p>
    <w:p w14:paraId="6CD2A1C5" w14:textId="77777777" w:rsidR="00C922A1" w:rsidRPr="00291106" w:rsidRDefault="00C922A1" w:rsidP="00C922A1">
      <w:pPr>
        <w:pStyle w:val="ListParagraph"/>
        <w:numPr>
          <w:ilvl w:val="0"/>
          <w:numId w:val="12"/>
        </w:numPr>
        <w:kinsoku w:val="0"/>
        <w:overflowPunct w:val="0"/>
        <w:adjustRightInd w:val="0"/>
        <w:ind w:leftChars="0"/>
        <w:textAlignment w:val="baseline"/>
        <w:rPr>
          <w:lang w:eastAsia="en-US"/>
        </w:rPr>
      </w:pPr>
      <w:r w:rsidRPr="00291106">
        <w:rPr>
          <w:lang w:eastAsia="en-US"/>
        </w:rPr>
        <w:t>FFS: Other UL signals/channels can be transmitted with Contention Exempt Short Control Signaling rule, such as msg3, SRS, PUCCH, PUSCH without user plain data, etc</w:t>
      </w:r>
    </w:p>
    <w:p w14:paraId="3D5EBF44" w14:textId="07E7773C" w:rsidR="00B049BE" w:rsidRDefault="00C242B3" w:rsidP="00247677">
      <w:pPr>
        <w:spacing w:after="0"/>
        <w:jc w:val="both"/>
        <w:rPr>
          <w:lang w:val="en-US"/>
        </w:rPr>
      </w:pPr>
      <w:r>
        <w:rPr>
          <w:lang w:val="en-US"/>
        </w:rPr>
        <w:t xml:space="preserve">This contribution discusses </w:t>
      </w:r>
      <w:r w:rsidR="00B049BE">
        <w:rPr>
          <w:lang w:val="en-US"/>
        </w:rPr>
        <w:t xml:space="preserve">detailed design for the above </w:t>
      </w:r>
      <w:r w:rsidR="005C21BD">
        <w:rPr>
          <w:lang w:val="en-US"/>
        </w:rPr>
        <w:t>aspects</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and more precisely, the following </w:t>
      </w:r>
      <w:r w:rsidR="005C21BD">
        <w:rPr>
          <w:lang w:val="en-US"/>
        </w:rPr>
        <w:t xml:space="preserve">topics </w:t>
      </w:r>
      <w:r w:rsidR="00DD05D5">
        <w:rPr>
          <w:lang w:val="en-US"/>
        </w:rPr>
        <w:t xml:space="preserve">related to channel access mechanism </w:t>
      </w:r>
      <w:r w:rsidR="00B049BE">
        <w:rPr>
          <w:lang w:val="en-US"/>
        </w:rPr>
        <w:t xml:space="preserve">are included: </w:t>
      </w:r>
    </w:p>
    <w:p w14:paraId="5942FC61" w14:textId="4E4A416B" w:rsidR="00C242B3" w:rsidRDefault="00DD05D5" w:rsidP="00B0672A">
      <w:pPr>
        <w:pStyle w:val="ListParagraph"/>
        <w:numPr>
          <w:ilvl w:val="0"/>
          <w:numId w:val="8"/>
        </w:numPr>
        <w:spacing w:after="0"/>
        <w:ind w:leftChars="0"/>
        <w:jc w:val="both"/>
        <w:rPr>
          <w:lang w:val="en-US"/>
        </w:rPr>
      </w:pPr>
      <w:r>
        <w:rPr>
          <w:lang w:val="en-US"/>
        </w:rPr>
        <w:t>In</w:t>
      </w:r>
      <w:r w:rsidR="00484CD4">
        <w:rPr>
          <w:lang w:val="en-US"/>
        </w:rPr>
        <w:t xml:space="preserve">dication of LBT mode and no-LBT </w:t>
      </w:r>
      <w:r>
        <w:rPr>
          <w:lang w:val="en-US"/>
        </w:rPr>
        <w:t>mode</w:t>
      </w:r>
    </w:p>
    <w:p w14:paraId="3ED013CE" w14:textId="0084E942" w:rsidR="00B049BE" w:rsidRDefault="00DD05D5" w:rsidP="00B0672A">
      <w:pPr>
        <w:pStyle w:val="ListParagraph"/>
        <w:numPr>
          <w:ilvl w:val="0"/>
          <w:numId w:val="8"/>
        </w:numPr>
        <w:spacing w:after="0"/>
        <w:ind w:leftChars="0"/>
        <w:jc w:val="both"/>
        <w:rPr>
          <w:lang w:val="en-US"/>
        </w:rPr>
      </w:pPr>
      <w:r>
        <w:rPr>
          <w:lang w:val="en-US"/>
        </w:rPr>
        <w:t xml:space="preserve">LBT parameters, including LBT bandwidth, </w:t>
      </w:r>
      <w:r w:rsidR="004756A0">
        <w:rPr>
          <w:lang w:val="en-US"/>
        </w:rPr>
        <w:t xml:space="preserve">sensing structure, </w:t>
      </w:r>
      <w:r>
        <w:rPr>
          <w:lang w:val="en-US"/>
        </w:rPr>
        <w:t xml:space="preserve">LBT type, CAPC, </w:t>
      </w:r>
      <w:r w:rsidR="0068426A">
        <w:rPr>
          <w:lang w:val="en-US"/>
        </w:rPr>
        <w:t xml:space="preserve">and </w:t>
      </w:r>
      <w:r>
        <w:rPr>
          <w:lang w:val="en-US"/>
        </w:rPr>
        <w:t>ED threshold</w:t>
      </w:r>
    </w:p>
    <w:p w14:paraId="6F98C24D" w14:textId="72CC1263" w:rsidR="00B049BE" w:rsidRDefault="00DD05D5" w:rsidP="00B0672A">
      <w:pPr>
        <w:pStyle w:val="ListParagraph"/>
        <w:numPr>
          <w:ilvl w:val="0"/>
          <w:numId w:val="8"/>
        </w:numPr>
        <w:spacing w:after="0"/>
        <w:ind w:leftChars="0"/>
        <w:jc w:val="both"/>
        <w:rPr>
          <w:lang w:val="en-US"/>
        </w:rPr>
      </w:pPr>
      <w:r>
        <w:rPr>
          <w:lang w:val="en-US"/>
        </w:rPr>
        <w:t>Short control signalling</w:t>
      </w:r>
    </w:p>
    <w:p w14:paraId="524191AC" w14:textId="3EAAA24C" w:rsidR="00B049BE" w:rsidRDefault="00DD05D5" w:rsidP="00B0672A">
      <w:pPr>
        <w:pStyle w:val="ListParagraph"/>
        <w:numPr>
          <w:ilvl w:val="0"/>
          <w:numId w:val="8"/>
        </w:numPr>
        <w:spacing w:after="0"/>
        <w:ind w:leftChars="0"/>
        <w:jc w:val="both"/>
        <w:rPr>
          <w:lang w:val="en-US"/>
        </w:rPr>
      </w:pPr>
      <w:r>
        <w:rPr>
          <w:lang w:val="en-US"/>
        </w:rPr>
        <w:t>Directional LBT</w:t>
      </w:r>
      <w:r w:rsidR="004756A0">
        <w:rPr>
          <w:lang w:val="en-US"/>
        </w:rPr>
        <w:t xml:space="preserve"> and multi-beam COT</w:t>
      </w:r>
    </w:p>
    <w:p w14:paraId="68EF8B22" w14:textId="14F03FE5" w:rsidR="00B049BE" w:rsidRDefault="00DD05D5" w:rsidP="00B0672A">
      <w:pPr>
        <w:pStyle w:val="ListParagraph"/>
        <w:numPr>
          <w:ilvl w:val="0"/>
          <w:numId w:val="8"/>
        </w:numPr>
        <w:spacing w:after="0"/>
        <w:ind w:leftChars="0"/>
        <w:jc w:val="both"/>
        <w:rPr>
          <w:lang w:val="en-US"/>
        </w:rPr>
      </w:pPr>
      <w:r>
        <w:rPr>
          <w:lang w:val="en-US"/>
        </w:rPr>
        <w:t>RX-assistant LBT</w:t>
      </w:r>
    </w:p>
    <w:p w14:paraId="5FCFF35B" w14:textId="7685EF2A" w:rsidR="00B07E3C" w:rsidRDefault="00B07E3C" w:rsidP="00B0672A">
      <w:pPr>
        <w:pStyle w:val="ListParagraph"/>
        <w:numPr>
          <w:ilvl w:val="0"/>
          <w:numId w:val="8"/>
        </w:numPr>
        <w:spacing w:after="0"/>
        <w:ind w:leftChars="0"/>
        <w:jc w:val="both"/>
        <w:rPr>
          <w:lang w:val="en-US"/>
        </w:rPr>
      </w:pPr>
      <w:r>
        <w:rPr>
          <w:lang w:val="en-US"/>
        </w:rPr>
        <w:t>Enhancement to RSSI measurement</w:t>
      </w:r>
    </w:p>
    <w:p w14:paraId="35304F54" w14:textId="5F99CFD2" w:rsidR="00C242B3" w:rsidRPr="004756A0" w:rsidRDefault="008B47A3" w:rsidP="004756A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Indication of LBT Mode and No-LBT M</w:t>
      </w:r>
      <w:r w:rsidR="00484CD4" w:rsidRPr="004756A0">
        <w:rPr>
          <w:lang w:val="en-US"/>
        </w:rPr>
        <w:t>ode</w:t>
      </w:r>
    </w:p>
    <w:p w14:paraId="08E72777" w14:textId="6ED277A6" w:rsidR="00484CD4" w:rsidRDefault="00F34076" w:rsidP="00484CD4">
      <w:pPr>
        <w:jc w:val="both"/>
        <w:rPr>
          <w:lang w:val="en-US"/>
        </w:rPr>
      </w:pPr>
      <w:r>
        <w:rPr>
          <w:lang w:val="en-US"/>
        </w:rPr>
        <w:t>I</w:t>
      </w:r>
      <w:r w:rsidR="00CE5ECF">
        <w:rPr>
          <w:lang w:val="en-US"/>
        </w:rPr>
        <w:t xml:space="preserve">n the </w:t>
      </w:r>
      <w:r w:rsidR="004756A0">
        <w:rPr>
          <w:lang w:val="en-US"/>
        </w:rPr>
        <w:t xml:space="preserve">last meeting, it has been agreed to support </w:t>
      </w:r>
      <w:r w:rsidR="00C922A1">
        <w:rPr>
          <w:lang w:val="en-US"/>
        </w:rPr>
        <w:t>both</w:t>
      </w:r>
      <w:r w:rsidR="004756A0">
        <w:rPr>
          <w:lang w:val="en-US"/>
        </w:rPr>
        <w:t xml:space="preserve"> cell-specific indication </w:t>
      </w:r>
      <w:r w:rsidR="00C922A1">
        <w:rPr>
          <w:lang w:val="en-US"/>
        </w:rPr>
        <w:t xml:space="preserve">and UE-specific indication </w:t>
      </w:r>
      <w:r w:rsidR="004756A0">
        <w:rPr>
          <w:lang w:val="en-US"/>
        </w:rPr>
        <w:t>of the operation mode, with per-beam indication and different operation modes between gNB and UE as FFS points</w:t>
      </w:r>
      <w:r w:rsidR="00484CD4">
        <w:rPr>
          <w:lang w:val="en-US"/>
        </w:rPr>
        <w:t xml:space="preserve">. </w:t>
      </w:r>
    </w:p>
    <w:p w14:paraId="15B65461" w14:textId="647E5A31" w:rsidR="004756A0" w:rsidRDefault="004756A0" w:rsidP="00484CD4">
      <w:pPr>
        <w:jc w:val="both"/>
        <w:rPr>
          <w:lang w:val="en-US"/>
        </w:rPr>
      </w:pPr>
      <w:r>
        <w:rPr>
          <w:lang w:val="en-US"/>
        </w:rPr>
        <w:t xml:space="preserve">In our understanding, nodes in a cell can operate in different modes, </w:t>
      </w:r>
      <w:r w:rsidRPr="004756A0">
        <w:rPr>
          <w:lang w:val="en-US"/>
        </w:rPr>
        <w:t>and the operation mode is associated with each of the node separately. For example, a gNB can indicate the operation mode to a UE based on the traffic or interference situation around the UE, such that UEs served by the same gNB may not have the same operation mode, and the gNB may also operate in a different mode from its serving UEs. In addition, a group of UEs (e.g. UEs covered by the same beam) can share the same operation mode, since they may experience same or similar interference situation.</w:t>
      </w:r>
      <w:r>
        <w:rPr>
          <w:lang w:val="en-US"/>
        </w:rPr>
        <w:t xml:space="preserve"> In this sense, we support UE-specific indication of the operation mode, wherein the indication can be per beam and gNB and UE can have different operation modes. </w:t>
      </w:r>
    </w:p>
    <w:p w14:paraId="02B32B19" w14:textId="4AAE441B" w:rsidR="00545156" w:rsidRDefault="004756A0" w:rsidP="00545156">
      <w:pPr>
        <w:jc w:val="both"/>
        <w:rPr>
          <w:lang w:val="en-US"/>
        </w:rPr>
      </w:pPr>
      <w:r>
        <w:rPr>
          <w:lang w:val="en-US"/>
        </w:rPr>
        <w:t>For</w:t>
      </w:r>
      <w:r w:rsidR="005859F1">
        <w:rPr>
          <w:lang w:val="en-US"/>
        </w:rPr>
        <w:t xml:space="preserve"> a gNB, its operation mode can be determined up to its implementation, by taking all factors into accounts, e.g. long term sensing, DFS, and ATPC</w:t>
      </w:r>
      <w:r w:rsidR="00813B2B">
        <w:rPr>
          <w:lang w:val="en-US"/>
        </w:rPr>
        <w:t xml:space="preserve"> for non-LBT mode or LBT mode</w:t>
      </w:r>
      <w:r w:rsidR="005859F1">
        <w:rPr>
          <w:lang w:val="en-US"/>
        </w:rPr>
        <w:t xml:space="preserve">. There is no specification impact needed to restrict the behavior of gNB to choose its operation mode for channel access. However, due to the </w:t>
      </w:r>
      <w:r w:rsidR="005859F1">
        <w:rPr>
          <w:lang w:eastAsia="x-none"/>
        </w:rPr>
        <w:t>natural difference on the physical layer design in the two operation modes,</w:t>
      </w:r>
      <w:r w:rsidR="005859F1" w:rsidRPr="005859F1">
        <w:rPr>
          <w:lang w:eastAsia="x-none"/>
        </w:rPr>
        <w:t xml:space="preserve"> </w:t>
      </w:r>
      <w:r w:rsidR="005859F1">
        <w:rPr>
          <w:lang w:eastAsia="x-none"/>
        </w:rPr>
        <w:t xml:space="preserve">it is expected that some of the Rel-16 NR-U mechanisms will be reused or improved for 60 GHz unlicensed band, and more mechanisms could also be under study for mitigating the impact of LBT for 60 GHz unlicensed band, then it would be beneficial for the UE to know gNB’s operation mode, in order to determine whether those mechanisms are applicable based on the operation mode. </w:t>
      </w:r>
      <w:r w:rsidR="005859F1">
        <w:rPr>
          <w:lang w:val="en-US"/>
        </w:rPr>
        <w:t xml:space="preserve"> </w:t>
      </w:r>
    </w:p>
    <w:p w14:paraId="4A931656" w14:textId="5E0FEA0F" w:rsidR="005859F1" w:rsidRDefault="004756A0" w:rsidP="00545156">
      <w:pPr>
        <w:jc w:val="both"/>
        <w:rPr>
          <w:lang w:val="en-US"/>
        </w:rPr>
      </w:pPr>
      <w:r>
        <w:rPr>
          <w:lang w:val="en-US"/>
        </w:rPr>
        <w:t>F</w:t>
      </w:r>
      <w:r w:rsidR="005859F1">
        <w:rPr>
          <w:lang w:val="en-US"/>
        </w:rPr>
        <w:t xml:space="preserve">or a UE, its operation mode should be configured by the gNB, such that the network can still have the control of the channel access operation for the whole system. </w:t>
      </w:r>
      <w:r>
        <w:rPr>
          <w:lang w:val="en-US"/>
        </w:rPr>
        <w:t>Both cell-specific and UE-specific indication of UE’s operation mode can be supported to allow full flexibility of the indication</w:t>
      </w:r>
      <w:r w:rsidR="00326889">
        <w:rPr>
          <w:lang w:val="en-US"/>
        </w:rPr>
        <w:t xml:space="preserve">. </w:t>
      </w:r>
    </w:p>
    <w:p w14:paraId="17A66D7A" w14:textId="3B552A14" w:rsidR="004756A0" w:rsidRDefault="004756A0" w:rsidP="00545156">
      <w:pPr>
        <w:jc w:val="both"/>
        <w:rPr>
          <w:lang w:val="en-US"/>
        </w:rPr>
      </w:pPr>
      <w:r>
        <w:rPr>
          <w:lang w:val="en-US"/>
        </w:rPr>
        <w:t>Based on above discussion, the cell-specific indication can be a group of mode pairs, wherein each mode pair defines the modes of gNB and UE for a particular beam</w:t>
      </w:r>
      <w:r w:rsidR="005F3015">
        <w:rPr>
          <w:lang w:val="en-US"/>
        </w:rPr>
        <w:t xml:space="preserve">, and the two modes in the mode pair corresponds to the mode of gNB and UE respectively. In particular, the indication can be expressed as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e>
        </m:d>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e>
        </m:d>
        <m:r>
          <w:rPr>
            <w:rFonts w:ascii="Cambria Math" w:hAnsi="Cambria Math"/>
            <w:lang w:val="en-US"/>
          </w:rPr>
          <m:t>, …, (</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B</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r>
          <w:rPr>
            <w:rFonts w:ascii="Cambria Math" w:hAnsi="Cambria Math"/>
            <w:lang w:val="en-US"/>
          </w:rPr>
          <m:t>)</m:t>
        </m:r>
      </m:oMath>
      <w:r w:rsidR="005F3015">
        <w:rPr>
          <w:lang w:val="en-US"/>
        </w:rPr>
        <w:t xml:space="preserve">, wherein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m:t>
            </m:r>
          </m:sub>
        </m:sSub>
      </m:oMath>
      <w:r w:rsidR="005F3015">
        <w:rPr>
          <w:lang w:val="en-US"/>
        </w:rPr>
        <w:t xml:space="preserve"> is the mode of the gNB for beam </w:t>
      </w:r>
      <m:oMath>
        <m:r>
          <w:rPr>
            <w:rFonts w:ascii="Cambria Math" w:hAnsi="Cambria Math"/>
            <w:lang w:val="en-US"/>
          </w:rPr>
          <m:t>i</m:t>
        </m:r>
      </m:oMath>
      <w:r w:rsidR="005F3015">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oMath>
      <w:r w:rsidR="005F3015">
        <w:rPr>
          <w:lang w:val="en-US"/>
        </w:rPr>
        <w:t xml:space="preserve"> is the mode of the UE for beam </w:t>
      </w:r>
      <m:oMath>
        <m:r>
          <w:rPr>
            <w:rFonts w:ascii="Cambria Math" w:hAnsi="Cambria Math"/>
            <w:lang w:val="en-US"/>
          </w:rPr>
          <m:t>i</m:t>
        </m:r>
      </m:oMath>
      <w:r w:rsidR="005F3015">
        <w:rPr>
          <w:lang w:val="en-US"/>
        </w:rPr>
        <w:t xml:space="preserve">. The UE-specific indication can be a mode pair, which can be expressed as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e>
        </m:d>
        <m:r>
          <w:rPr>
            <w:rFonts w:ascii="Cambria Math" w:hAnsi="Cambria Math"/>
            <w:lang w:val="en-US"/>
          </w:rPr>
          <m:t>.</m:t>
        </m:r>
      </m:oMath>
    </w:p>
    <w:p w14:paraId="35CF6F86" w14:textId="2EB2E2DC" w:rsidR="004756A0" w:rsidRDefault="00326889" w:rsidP="00545156">
      <w:pPr>
        <w:jc w:val="both"/>
        <w:rPr>
          <w:b/>
          <w:u w:val="single"/>
          <w:lang w:val="en-US"/>
        </w:rPr>
      </w:pPr>
      <w:r>
        <w:rPr>
          <w:b/>
          <w:u w:val="single"/>
          <w:lang w:val="en-US"/>
        </w:rPr>
        <w:t>P</w:t>
      </w:r>
      <w:r w:rsidR="003514BC" w:rsidRPr="003514BC">
        <w:rPr>
          <w:b/>
          <w:u w:val="single"/>
          <w:lang w:val="en-US"/>
        </w:rPr>
        <w:t xml:space="preserve">roposal 1: </w:t>
      </w:r>
      <w:r w:rsidR="004756A0" w:rsidRPr="004756A0">
        <w:rPr>
          <w:b/>
          <w:u w:val="single"/>
          <w:lang w:val="en-US"/>
        </w:rPr>
        <w:t>For regions where LBT is not mandated</w:t>
      </w:r>
      <w:r w:rsidR="00C21FD5">
        <w:rPr>
          <w:b/>
          <w:u w:val="single"/>
          <w:lang w:val="en-US"/>
        </w:rPr>
        <w:t>,</w:t>
      </w:r>
    </w:p>
    <w:p w14:paraId="627D31CA" w14:textId="68F909DB" w:rsidR="00CE5ECF" w:rsidRPr="00AE5484" w:rsidRDefault="005F3015" w:rsidP="00C922A1">
      <w:pPr>
        <w:pStyle w:val="ListParagraph"/>
        <w:numPr>
          <w:ilvl w:val="0"/>
          <w:numId w:val="17"/>
        </w:numPr>
        <w:ind w:leftChars="0"/>
        <w:jc w:val="both"/>
        <w:rPr>
          <w:b/>
          <w:u w:val="single"/>
          <w:lang w:val="en-US"/>
        </w:rPr>
      </w:pPr>
      <w:r>
        <w:rPr>
          <w:b/>
          <w:u w:val="single"/>
          <w:lang w:val="en-US"/>
        </w:rPr>
        <w:t xml:space="preserve">the cell-specific indication is a group of mode pairs, </w:t>
      </w:r>
      <w:r w:rsidRPr="005F3015">
        <w:rPr>
          <w:b/>
          <w:u w:val="single"/>
          <w:lang w:val="en-US"/>
        </w:rPr>
        <w:t>wherein each mode pair defines the modes of gNB and UE for a particular beam</w:t>
      </w:r>
      <w:r w:rsidR="00CE5ECF" w:rsidRPr="00AE5484">
        <w:rPr>
          <w:b/>
          <w:u w:val="single"/>
          <w:lang w:val="en-US"/>
        </w:rPr>
        <w:t>;</w:t>
      </w:r>
    </w:p>
    <w:p w14:paraId="62CAD9EC" w14:textId="4A1203E9" w:rsidR="00CE5ECF" w:rsidRPr="00AE5484" w:rsidRDefault="005F3015" w:rsidP="00C922A1">
      <w:pPr>
        <w:pStyle w:val="ListParagraph"/>
        <w:numPr>
          <w:ilvl w:val="0"/>
          <w:numId w:val="17"/>
        </w:numPr>
        <w:ind w:leftChars="0"/>
        <w:jc w:val="both"/>
        <w:rPr>
          <w:b/>
          <w:u w:val="single"/>
          <w:lang w:val="en-US"/>
        </w:rPr>
      </w:pPr>
      <w:r>
        <w:rPr>
          <w:b/>
          <w:u w:val="single"/>
          <w:lang w:val="en-US"/>
        </w:rPr>
        <w:t xml:space="preserve">the UE-specific indication is </w:t>
      </w:r>
      <w:r w:rsidR="00EC6BA4">
        <w:rPr>
          <w:b/>
          <w:u w:val="single"/>
          <w:lang w:val="en-US"/>
        </w:rPr>
        <w:t xml:space="preserve">a </w:t>
      </w:r>
      <w:r w:rsidR="00842BD0">
        <w:rPr>
          <w:b/>
          <w:u w:val="single"/>
          <w:lang w:val="en-US"/>
        </w:rPr>
        <w:t>mode pair;</w:t>
      </w:r>
      <w:bookmarkStart w:id="3" w:name="_GoBack"/>
      <w:bookmarkEnd w:id="3"/>
    </w:p>
    <w:p w14:paraId="34021062" w14:textId="1920CDC4" w:rsidR="00CE5ECF" w:rsidRPr="00AE5484" w:rsidRDefault="00CE5ECF" w:rsidP="00B0672A">
      <w:pPr>
        <w:pStyle w:val="ListParagraph"/>
        <w:numPr>
          <w:ilvl w:val="0"/>
          <w:numId w:val="17"/>
        </w:numPr>
        <w:ind w:leftChars="0"/>
        <w:jc w:val="both"/>
        <w:rPr>
          <w:b/>
          <w:u w:val="single"/>
          <w:lang w:val="en-US"/>
        </w:rPr>
      </w:pPr>
      <w:r w:rsidRPr="00AE5484">
        <w:rPr>
          <w:b/>
          <w:u w:val="single"/>
          <w:lang w:val="en-US"/>
        </w:rPr>
        <w:t>gNB determines its oper</w:t>
      </w:r>
      <w:r w:rsidR="000E153F">
        <w:rPr>
          <w:b/>
          <w:u w:val="single"/>
          <w:lang w:val="en-US"/>
        </w:rPr>
        <w:t>ation mode up to implementation.</w:t>
      </w:r>
    </w:p>
    <w:p w14:paraId="662F7268" w14:textId="3144A643" w:rsidR="003514BC" w:rsidRDefault="008B47A3" w:rsidP="003514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Details of LBT M</w:t>
      </w:r>
      <w:r w:rsidR="00CE5ECF">
        <w:rPr>
          <w:lang w:val="en-US"/>
        </w:rPr>
        <w:t>ode</w:t>
      </w:r>
    </w:p>
    <w:p w14:paraId="79BCB03B" w14:textId="58FA1435" w:rsidR="00CE5ECF" w:rsidRDefault="00CE5ECF" w:rsidP="00CE5ECF">
      <w:pPr>
        <w:tabs>
          <w:tab w:val="left" w:pos="1300"/>
        </w:tabs>
        <w:jc w:val="both"/>
        <w:rPr>
          <w:lang w:val="en-US"/>
        </w:rPr>
      </w:pPr>
      <w:r>
        <w:rPr>
          <w:lang w:val="en-US"/>
        </w:rPr>
        <w:t>This section details design aspects</w:t>
      </w:r>
      <w:r w:rsidR="00EC6BA4">
        <w:rPr>
          <w:lang w:val="en-US"/>
        </w:rPr>
        <w:t xml:space="preserve"> for LBT mode</w:t>
      </w:r>
      <w:r>
        <w:rPr>
          <w:lang w:val="en-US"/>
        </w:rPr>
        <w:t xml:space="preserve">, including LBT bandwidth, </w:t>
      </w:r>
      <w:r w:rsidR="00EC6BA4">
        <w:rPr>
          <w:lang w:val="en-US"/>
        </w:rPr>
        <w:t xml:space="preserve">sensing structure, </w:t>
      </w:r>
      <w:r>
        <w:rPr>
          <w:lang w:val="en-US"/>
        </w:rPr>
        <w:t xml:space="preserve">LBT type, CAPC, and ED threshold. </w:t>
      </w:r>
    </w:p>
    <w:p w14:paraId="64CD5A11"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0B0750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D3F9C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11A2208" w14:textId="2C867219" w:rsidR="00AE5484" w:rsidRDefault="00AE5484" w:rsidP="00AE5484">
      <w:pPr>
        <w:pStyle w:val="Heading2"/>
        <w:rPr>
          <w:lang w:val="en-US"/>
        </w:rPr>
      </w:pPr>
      <w:r>
        <w:rPr>
          <w:lang w:val="en-US"/>
        </w:rPr>
        <w:t>LBT B</w:t>
      </w:r>
      <w:r w:rsidRPr="00AE5484">
        <w:rPr>
          <w:lang w:val="en-US"/>
        </w:rPr>
        <w:t>andwidth</w:t>
      </w:r>
    </w:p>
    <w:p w14:paraId="154F8C99" w14:textId="3847155D" w:rsidR="00AE5484" w:rsidRDefault="00AE5484" w:rsidP="009A7F93">
      <w:pPr>
        <w:tabs>
          <w:tab w:val="left" w:pos="1300"/>
        </w:tabs>
        <w:jc w:val="both"/>
        <w:rPr>
          <w:lang w:val="en-US"/>
        </w:rPr>
      </w:pPr>
      <w:r w:rsidRPr="00AE5484">
        <w:rPr>
          <w:lang w:val="en-US"/>
        </w:rPr>
        <w:t xml:space="preserve">In the </w:t>
      </w:r>
      <w:r w:rsidR="009A7F93">
        <w:rPr>
          <w:lang w:val="en-US"/>
        </w:rPr>
        <w:t>last RAN1 meeting</w:t>
      </w:r>
      <w:r w:rsidR="00EC6BA4">
        <w:rPr>
          <w:lang w:val="en-US"/>
        </w:rPr>
        <w:t xml:space="preserve"> [1]</w:t>
      </w:r>
      <w:r w:rsidR="009A7F93">
        <w:rPr>
          <w:lang w:val="en-US"/>
        </w:rPr>
        <w:t xml:space="preserve">, the alternatives </w:t>
      </w:r>
      <w:r w:rsidR="00EC6BA4">
        <w:rPr>
          <w:lang w:val="en-US"/>
        </w:rPr>
        <w:t xml:space="preserve">of LBT bandwidth </w:t>
      </w:r>
      <w:r w:rsidR="009A7F93">
        <w:rPr>
          <w:lang w:val="en-US"/>
        </w:rPr>
        <w:t>for single carrier transmission</w:t>
      </w:r>
      <w:r w:rsidR="00EC6BA4">
        <w:rPr>
          <w:lang w:val="en-US"/>
        </w:rPr>
        <w:t xml:space="preserve"> have been down-selected to the following</w:t>
      </w:r>
      <w:r w:rsidR="009A7F93">
        <w:rPr>
          <w:lang w:val="en-US"/>
        </w:rPr>
        <w:t xml:space="preserve">: </w:t>
      </w:r>
    </w:p>
    <w:p w14:paraId="77398466" w14:textId="77777777" w:rsidR="009A7F93" w:rsidRPr="003161F7" w:rsidRDefault="009A7F93" w:rsidP="00B0672A">
      <w:pPr>
        <w:pStyle w:val="ListParagraph"/>
        <w:numPr>
          <w:ilvl w:val="0"/>
          <w:numId w:val="11"/>
        </w:numPr>
        <w:overflowPunct w:val="0"/>
        <w:snapToGrid w:val="0"/>
        <w:spacing w:line="252" w:lineRule="auto"/>
        <w:ind w:leftChars="0"/>
        <w:rPr>
          <w:rFonts w:cs="Times"/>
        </w:rPr>
      </w:pPr>
      <w:r w:rsidRPr="003161F7">
        <w:rPr>
          <w:rFonts w:cs="Times"/>
        </w:rPr>
        <w:t>Alt SC.1. gNB/UE performs LBT over the channel bandwidth (or BWP bandwidth)</w:t>
      </w:r>
    </w:p>
    <w:p w14:paraId="31E78BBB" w14:textId="77777777" w:rsidR="009A7F93" w:rsidRPr="003161F7" w:rsidRDefault="009A7F93" w:rsidP="00B0672A">
      <w:pPr>
        <w:pStyle w:val="ListParagraph"/>
        <w:numPr>
          <w:ilvl w:val="0"/>
          <w:numId w:val="11"/>
        </w:numPr>
        <w:overflowPunct w:val="0"/>
        <w:snapToGrid w:val="0"/>
        <w:spacing w:line="252" w:lineRule="auto"/>
        <w:ind w:leftChars="0"/>
        <w:rPr>
          <w:rFonts w:cs="Times"/>
        </w:rPr>
      </w:pPr>
      <w:r w:rsidRPr="003161F7">
        <w:rPr>
          <w:rFonts w:cs="Times"/>
        </w:rPr>
        <w:t>Alt SC.3. Define a unit of LBT bandwidth and gNB/UE performs LBT in all the LBT units (to be transmitted in) in the channel bandwidth</w:t>
      </w:r>
    </w:p>
    <w:p w14:paraId="0A659CB5" w14:textId="1A0B4FA7" w:rsidR="009A7F93" w:rsidRPr="009A7F93" w:rsidRDefault="009A7F93" w:rsidP="009A7F93">
      <w:pPr>
        <w:tabs>
          <w:tab w:val="left" w:pos="1300"/>
        </w:tabs>
        <w:jc w:val="both"/>
      </w:pPr>
      <w:r>
        <w:t>Alt SC</w:t>
      </w:r>
      <w:r w:rsidR="00EA293D">
        <w:t>.</w:t>
      </w:r>
      <w:r>
        <w:t>1 should be supported as baseline, and to make the LBT bandwidth easier for implementation, LBT over the channel bandwidth should be the default LBT bandwidth. Alt SC</w:t>
      </w:r>
      <w:r w:rsidR="00EA293D">
        <w:t>.</w:t>
      </w:r>
      <w:r>
        <w:t>3 can also be acceptable as a second choice, but clarification seems needed for the transmission behaviour after the result of sensing in Alt SC</w:t>
      </w:r>
      <w:r w:rsidR="00EA293D">
        <w:t>.</w:t>
      </w:r>
      <w:r>
        <w:t xml:space="preserve">3. </w:t>
      </w:r>
    </w:p>
    <w:p w14:paraId="252D14D1" w14:textId="7D2A67A0" w:rsidR="00EC6BA4" w:rsidRPr="00EC6BA4" w:rsidRDefault="00EC6BA4" w:rsidP="00EC6BA4">
      <w:pPr>
        <w:tabs>
          <w:tab w:val="left" w:pos="1300"/>
        </w:tabs>
        <w:jc w:val="both"/>
        <w:rPr>
          <w:lang w:val="en-US"/>
        </w:rPr>
      </w:pPr>
      <w:r w:rsidRPr="00EC6BA4">
        <w:rPr>
          <w:lang w:val="en-US"/>
        </w:rPr>
        <w:t xml:space="preserve">In the last RAN1 meeting [1], the alternatives of LBT bandwidth for </w:t>
      </w:r>
      <w:r>
        <w:rPr>
          <w:lang w:val="en-US"/>
        </w:rPr>
        <w:t>multiple</w:t>
      </w:r>
      <w:r w:rsidRPr="00EC6BA4">
        <w:rPr>
          <w:lang w:val="en-US"/>
        </w:rPr>
        <w:t xml:space="preserve"> carrier transmission have been down-selected to the following: </w:t>
      </w:r>
    </w:p>
    <w:p w14:paraId="529F7221" w14:textId="77777777" w:rsidR="00EA293D" w:rsidRPr="003161F7" w:rsidRDefault="00EA293D" w:rsidP="00B0672A">
      <w:pPr>
        <w:pStyle w:val="ListParagraph"/>
        <w:numPr>
          <w:ilvl w:val="0"/>
          <w:numId w:val="12"/>
        </w:numPr>
        <w:overflowPunct w:val="0"/>
        <w:snapToGrid w:val="0"/>
        <w:spacing w:line="252" w:lineRule="auto"/>
        <w:ind w:leftChars="0"/>
        <w:rPr>
          <w:rFonts w:cs="Times"/>
        </w:rPr>
      </w:pPr>
      <w:r w:rsidRPr="003161F7">
        <w:rPr>
          <w:rFonts w:cs="Times"/>
        </w:rPr>
        <w:t>Alt CA.1. gNB/UE performs multiple LBT, one for each channel bandwidth separately</w:t>
      </w:r>
    </w:p>
    <w:p w14:paraId="49EA4F14" w14:textId="77777777" w:rsidR="00EA293D" w:rsidRPr="003161F7" w:rsidRDefault="00EA293D" w:rsidP="00B0672A">
      <w:pPr>
        <w:pStyle w:val="ListParagraph"/>
        <w:numPr>
          <w:ilvl w:val="0"/>
          <w:numId w:val="12"/>
        </w:numPr>
        <w:overflowPunct w:val="0"/>
        <w:snapToGrid w:val="0"/>
        <w:spacing w:line="252" w:lineRule="auto"/>
        <w:ind w:leftChars="0"/>
        <w:rPr>
          <w:rFonts w:cs="Times"/>
        </w:rPr>
      </w:pPr>
      <w:r w:rsidRPr="003161F7">
        <w:rPr>
          <w:rFonts w:cs="Times"/>
        </w:rPr>
        <w:lastRenderedPageBreak/>
        <w:t>Alt CA.2. gNB/UE performs single LBT over all CCs</w:t>
      </w:r>
    </w:p>
    <w:p w14:paraId="66FF7D12" w14:textId="77777777" w:rsidR="00EA293D" w:rsidRPr="003161F7" w:rsidRDefault="00EA293D" w:rsidP="00B0672A">
      <w:pPr>
        <w:pStyle w:val="ListParagraph"/>
        <w:numPr>
          <w:ilvl w:val="0"/>
          <w:numId w:val="12"/>
        </w:numPr>
        <w:overflowPunct w:val="0"/>
        <w:snapToGrid w:val="0"/>
        <w:spacing w:line="252" w:lineRule="auto"/>
        <w:ind w:leftChars="0"/>
        <w:rPr>
          <w:rFonts w:cs="Times"/>
        </w:rPr>
      </w:pPr>
      <w:r w:rsidRPr="003161F7">
        <w:rPr>
          <w:rFonts w:cs="Times"/>
        </w:rPr>
        <w:t>Alt CA.5. Define a unit of LBT bandwidth and gNB/UE performs LBT in all the LBT units (to be transmitted in) in the channel bandwidth in each CC</w:t>
      </w:r>
    </w:p>
    <w:p w14:paraId="1B5B75FD" w14:textId="5ED65AFC" w:rsidR="00EA293D" w:rsidRDefault="00EA293D" w:rsidP="00EA293D">
      <w:pPr>
        <w:tabs>
          <w:tab w:val="left" w:pos="1300"/>
        </w:tabs>
        <w:jc w:val="both"/>
      </w:pPr>
      <w:r>
        <w:t xml:space="preserve">Considering Alt CA.1 is a generalization of Alt SC.1, it should also be served as the baseline to support. Alt CA.2 should also be supported for the gNB with high capability, and up to implementation to choose between Alt CA.1 and Alt CA.2. Alt CA.5 is same as Alt SC.3, and it may not need to distinguish single-carrier or multi-carrier transmission if only Alt SC.3/CA.5 is supported. </w:t>
      </w:r>
    </w:p>
    <w:p w14:paraId="02CFA06F" w14:textId="56B22499" w:rsidR="00D64D18" w:rsidRDefault="001855F9" w:rsidP="00C666CE">
      <w:pPr>
        <w:jc w:val="both"/>
        <w:rPr>
          <w:b/>
          <w:lang w:eastAsia="ja-JP"/>
        </w:rPr>
      </w:pPr>
      <w:r w:rsidRPr="00D64D18">
        <w:rPr>
          <w:b/>
          <w:u w:val="single"/>
          <w:lang w:eastAsia="ja-JP"/>
        </w:rPr>
        <w:t>Proposal</w:t>
      </w:r>
      <w:r w:rsidR="00D64D18" w:rsidRPr="00D64D18">
        <w:rPr>
          <w:b/>
          <w:u w:val="single"/>
          <w:lang w:eastAsia="ja-JP"/>
        </w:rPr>
        <w:t xml:space="preserve"> 2</w:t>
      </w:r>
      <w:r w:rsidRPr="00D64D18">
        <w:rPr>
          <w:b/>
          <w:u w:val="single"/>
          <w:lang w:eastAsia="ja-JP"/>
        </w:rPr>
        <w:t xml:space="preserve">: </w:t>
      </w:r>
      <w:r w:rsidR="008B47A3">
        <w:rPr>
          <w:b/>
          <w:u w:val="single"/>
          <w:lang w:eastAsia="ja-JP"/>
        </w:rPr>
        <w:t>For LBT bandwidth, s</w:t>
      </w:r>
      <w:r w:rsidR="00EC6BA4">
        <w:rPr>
          <w:b/>
          <w:u w:val="single"/>
          <w:lang w:eastAsia="ja-JP"/>
        </w:rPr>
        <w:t>upport Alt SC.1 + CA.1 +</w:t>
      </w:r>
      <w:r w:rsidR="00EA293D">
        <w:rPr>
          <w:b/>
          <w:u w:val="single"/>
          <w:lang w:eastAsia="ja-JP"/>
        </w:rPr>
        <w:t xml:space="preserve"> CA.2 as the first preference, and SC.3 </w:t>
      </w:r>
      <w:r w:rsidR="00EC6BA4">
        <w:rPr>
          <w:b/>
          <w:u w:val="single"/>
          <w:lang w:eastAsia="ja-JP"/>
        </w:rPr>
        <w:t>+</w:t>
      </w:r>
      <w:r w:rsidR="00EA293D">
        <w:rPr>
          <w:b/>
          <w:u w:val="single"/>
          <w:lang w:eastAsia="ja-JP"/>
        </w:rPr>
        <w:t xml:space="preserve"> CA.5 as the second preference</w:t>
      </w:r>
      <w:r w:rsidR="00D64D18" w:rsidRPr="00D64D18">
        <w:rPr>
          <w:b/>
          <w:u w:val="single"/>
          <w:lang w:eastAsia="ja-JP"/>
        </w:rPr>
        <w:t>.</w:t>
      </w:r>
      <w:r w:rsidR="00D64D18" w:rsidRPr="00D64D18">
        <w:rPr>
          <w:b/>
          <w:lang w:eastAsia="ja-JP"/>
        </w:rPr>
        <w:t xml:space="preserve"> </w:t>
      </w:r>
    </w:p>
    <w:p w14:paraId="2427F9C0" w14:textId="58D28E19" w:rsidR="00567A4C" w:rsidRDefault="008B47A3" w:rsidP="00567A4C">
      <w:pPr>
        <w:pStyle w:val="Heading2"/>
        <w:rPr>
          <w:lang w:val="en-US"/>
        </w:rPr>
      </w:pPr>
      <w:r>
        <w:rPr>
          <w:lang w:val="en-US"/>
        </w:rPr>
        <w:t>Sensing Structure</w:t>
      </w:r>
      <w:r w:rsidR="00567A4C">
        <w:rPr>
          <w:lang w:val="en-US"/>
        </w:rPr>
        <w:t xml:space="preserve"> </w:t>
      </w:r>
    </w:p>
    <w:p w14:paraId="278C3423" w14:textId="56C3F0CF" w:rsidR="00EC6BA4" w:rsidRDefault="008B47A3" w:rsidP="008B47A3">
      <w:pPr>
        <w:jc w:val="both"/>
        <w:rPr>
          <w:lang w:val="en-US"/>
        </w:rPr>
      </w:pPr>
      <w:r>
        <w:rPr>
          <w:lang w:val="en-US"/>
        </w:rPr>
        <w:t xml:space="preserve">In the last meeting [1], the sensing structure of a CCA slot was discussed, and a working assumption was made to allow flexible location of the 5 us observation slot. Since regulation didn’t have explicit requirement on the location of the 5 us observation slot, it should be up to implementation to choose the location, as long as the duration of the sensing is satisfied. </w:t>
      </w:r>
    </w:p>
    <w:p w14:paraId="35FA28AA" w14:textId="66D7CD10" w:rsidR="008B47A3" w:rsidRDefault="008B47A3" w:rsidP="008B47A3">
      <w:pPr>
        <w:jc w:val="both"/>
        <w:rPr>
          <w:lang w:val="en-US"/>
        </w:rPr>
      </w:pPr>
      <w:r>
        <w:rPr>
          <w:lang w:val="en-US"/>
        </w:rPr>
        <w:t xml:space="preserve">Regarding the number of energy measurement periods within the 8 us deferral period, regulation didn’t have explicit requirement as well, so it could be a single energy measurement period to simplify the implementation, and allow two energy measurement periods up to implementation. </w:t>
      </w:r>
    </w:p>
    <w:p w14:paraId="7FE2DDAA" w14:textId="3891EEB8" w:rsidR="008B47A3" w:rsidRPr="008B47A3" w:rsidRDefault="008B47A3" w:rsidP="008B47A3">
      <w:pPr>
        <w:jc w:val="both"/>
        <w:rPr>
          <w:b/>
          <w:u w:val="single"/>
          <w:lang w:val="en-US"/>
        </w:rPr>
      </w:pPr>
      <w:r w:rsidRPr="008B47A3">
        <w:rPr>
          <w:b/>
          <w:u w:val="single"/>
          <w:lang w:val="en-US"/>
        </w:rPr>
        <w:t>Proposal 3: For sensing structure, confirm the working assumption from RAN1#104b-e, and support single energy measurement w</w:t>
      </w:r>
      <w:r>
        <w:rPr>
          <w:b/>
          <w:u w:val="single"/>
          <w:lang w:val="en-US"/>
        </w:rPr>
        <w:t>ithin the 8 us deferral period.</w:t>
      </w:r>
    </w:p>
    <w:p w14:paraId="6F88CF1B" w14:textId="4B443D29" w:rsidR="00EC6BA4" w:rsidRPr="00EC6BA4" w:rsidRDefault="00EC6BA4" w:rsidP="00EC6BA4">
      <w:pPr>
        <w:pStyle w:val="Heading2"/>
        <w:rPr>
          <w:lang w:val="en-US"/>
        </w:rPr>
      </w:pPr>
      <w:r>
        <w:rPr>
          <w:lang w:val="en-US"/>
        </w:rPr>
        <w:t xml:space="preserve">LBT Type </w:t>
      </w:r>
    </w:p>
    <w:p w14:paraId="435A019A" w14:textId="5B3FD73F" w:rsidR="00567A4C" w:rsidRDefault="00567A4C" w:rsidP="00567A4C">
      <w:pPr>
        <w:tabs>
          <w:tab w:val="left" w:pos="1300"/>
        </w:tabs>
        <w:jc w:val="both"/>
        <w:rPr>
          <w:lang w:val="en-US"/>
        </w:rPr>
      </w:pPr>
      <w:r w:rsidRPr="00567A4C">
        <w:rPr>
          <w:lang w:val="en-US"/>
        </w:rPr>
        <w:t xml:space="preserve">In Rel-16 NR-U, </w:t>
      </w:r>
      <w:r>
        <w:rPr>
          <w:lang w:val="en-US"/>
        </w:rPr>
        <w:t>two types of</w:t>
      </w:r>
      <w:r w:rsidRPr="00567A4C">
        <w:rPr>
          <w:lang w:val="en-US"/>
        </w:rPr>
        <w:t xml:space="preserve"> channel access </w:t>
      </w:r>
      <w:r>
        <w:rPr>
          <w:lang w:val="en-US"/>
        </w:rPr>
        <w:t xml:space="preserve">procedures are supported: Type 1 channel access procedure with random sensing duration, and Type 2 channel access procedure with fixed sensing duration. Each type of channel access procedure has its application scenarios, with certain conditions to be satisfied. For 60 GHz unlicensed band, the two types of channel access procedure can be kept as baseline, with modification on the details to be complied with regulation requirement.  </w:t>
      </w:r>
    </w:p>
    <w:p w14:paraId="04F83A24" w14:textId="752053D0" w:rsidR="00567A4C" w:rsidRDefault="00567A4C" w:rsidP="00567A4C">
      <w:pPr>
        <w:tabs>
          <w:tab w:val="left" w:pos="1300"/>
        </w:tabs>
        <w:jc w:val="both"/>
      </w:pPr>
      <w:r>
        <w:rPr>
          <w:lang w:val="en-US"/>
        </w:rPr>
        <w:t xml:space="preserve">For Type 1 channel access procedure, </w:t>
      </w:r>
      <w:r w:rsidR="00C63B00" w:rsidRPr="00B15891">
        <w:t>v2.1.20 of EN 302 567</w:t>
      </w:r>
      <w:r w:rsidR="00C63B00">
        <w:t xml:space="preserve"> only requires a minimum value on the contention window size, and there is </w:t>
      </w:r>
      <w:r w:rsidR="005B0C37">
        <w:t xml:space="preserve">no </w:t>
      </w:r>
      <w:r w:rsidR="00C63B00">
        <w:t xml:space="preserve">requirement of contention window size adaptation as in Rel-16 NR-U. In this sense, Type 1 channel access procedure </w:t>
      </w:r>
      <w:r w:rsidR="005B0C37">
        <w:t xml:space="preserve">for 60 GHz unlicensed band </w:t>
      </w:r>
      <w:r w:rsidR="00C63B00">
        <w:t xml:space="preserve">can </w:t>
      </w:r>
      <w:r w:rsidR="005B0C37">
        <w:t xml:space="preserve">be </w:t>
      </w:r>
      <w:r w:rsidR="00C63B00">
        <w:t xml:space="preserve">a Cat3 LBT instead of a Cat4 LBT, and contention window size adaptation can be up to implementation. </w:t>
      </w:r>
    </w:p>
    <w:p w14:paraId="5ABFE61A" w14:textId="623E0772" w:rsidR="00C63B00" w:rsidRDefault="00C63B00" w:rsidP="00567A4C">
      <w:pPr>
        <w:tabs>
          <w:tab w:val="left" w:pos="1300"/>
        </w:tabs>
        <w:jc w:val="both"/>
      </w:pPr>
      <w:r>
        <w:t>For Type 2 channel access procedure, fixed sensing duration can be zero or positive in Rel-16 NR-U (i.e., Cat1 or Cat2 LBT, respectively), and each has its use cases specified in TS 37.213. To simplify the discussion, it would be straightforward to support both categories</w:t>
      </w:r>
      <w:r w:rsidR="005B0C37">
        <w:t xml:space="preserve"> as well for 60 GHz unlicensed band</w:t>
      </w:r>
      <w:r>
        <w:t>, with modification of the sensing duration for Cat2 LBT</w:t>
      </w:r>
      <w:r w:rsidR="005B0C37">
        <w:t xml:space="preserve"> to be compatible with regulation</w:t>
      </w:r>
      <w:r>
        <w:t xml:space="preserve">. </w:t>
      </w:r>
    </w:p>
    <w:p w14:paraId="14896BBB" w14:textId="2E98EE3E" w:rsidR="00C63B00" w:rsidRPr="00C63B00" w:rsidRDefault="00C63B00" w:rsidP="00567A4C">
      <w:pPr>
        <w:tabs>
          <w:tab w:val="left" w:pos="1300"/>
        </w:tabs>
        <w:jc w:val="both"/>
        <w:rPr>
          <w:b/>
          <w:u w:val="single"/>
        </w:rPr>
      </w:pPr>
      <w:r w:rsidRPr="00C63B00">
        <w:rPr>
          <w:b/>
          <w:u w:val="single"/>
        </w:rPr>
        <w:t xml:space="preserve">Proposal </w:t>
      </w:r>
      <w:r w:rsidR="008B47A3">
        <w:rPr>
          <w:b/>
          <w:u w:val="single"/>
        </w:rPr>
        <w:t>4</w:t>
      </w:r>
      <w:r w:rsidRPr="00C63B00">
        <w:rPr>
          <w:b/>
          <w:u w:val="single"/>
        </w:rPr>
        <w:t>: Support the following types of channel access procedures for 60 GHz unlicensed band:</w:t>
      </w:r>
    </w:p>
    <w:p w14:paraId="0D0D4EA3" w14:textId="581EE1CE" w:rsidR="00C63B00" w:rsidRPr="00C63B00" w:rsidRDefault="00C63B00" w:rsidP="00B0672A">
      <w:pPr>
        <w:pStyle w:val="ListParagraph"/>
        <w:numPr>
          <w:ilvl w:val="0"/>
          <w:numId w:val="8"/>
        </w:numPr>
        <w:ind w:leftChars="0"/>
        <w:jc w:val="both"/>
        <w:rPr>
          <w:b/>
          <w:u w:val="single"/>
          <w:lang w:val="en-US"/>
        </w:rPr>
      </w:pPr>
      <w:r w:rsidRPr="00C63B00">
        <w:rPr>
          <w:b/>
          <w:u w:val="single"/>
          <w:lang w:val="en-US"/>
        </w:rPr>
        <w:t>Type 1 channel access procedure without CWS adaptation;</w:t>
      </w:r>
    </w:p>
    <w:p w14:paraId="76CAB37B" w14:textId="1AC0FFAE" w:rsidR="00C63B00" w:rsidRPr="00C63B00" w:rsidRDefault="00C63B00" w:rsidP="00B0672A">
      <w:pPr>
        <w:pStyle w:val="ListParagraph"/>
        <w:numPr>
          <w:ilvl w:val="0"/>
          <w:numId w:val="8"/>
        </w:numPr>
        <w:ind w:leftChars="0"/>
        <w:jc w:val="both"/>
        <w:rPr>
          <w:b/>
          <w:u w:val="single"/>
          <w:lang w:val="en-US"/>
        </w:rPr>
      </w:pPr>
      <w:r w:rsidRPr="00C63B00">
        <w:rPr>
          <w:b/>
          <w:u w:val="single"/>
          <w:lang w:val="en-US"/>
        </w:rPr>
        <w:t>Type 2 channel access procedure with zero and p</w:t>
      </w:r>
      <w:r>
        <w:rPr>
          <w:b/>
          <w:u w:val="single"/>
          <w:lang w:val="en-US"/>
        </w:rPr>
        <w:t>ositive fixed sensing duration.</w:t>
      </w:r>
    </w:p>
    <w:p w14:paraId="4541D3FA" w14:textId="4EA2E2B1" w:rsidR="00C63B00" w:rsidRDefault="00C63B00" w:rsidP="00C63B00">
      <w:pPr>
        <w:pStyle w:val="Heading2"/>
        <w:rPr>
          <w:lang w:val="en-US"/>
        </w:rPr>
      </w:pPr>
      <w:r>
        <w:rPr>
          <w:lang w:val="en-US"/>
        </w:rPr>
        <w:t xml:space="preserve">CAPC </w:t>
      </w:r>
    </w:p>
    <w:p w14:paraId="5D2A5115" w14:textId="743C3CA8" w:rsidR="00567A4C" w:rsidRDefault="00EC4C33" w:rsidP="00EC4C33">
      <w:pPr>
        <w:tabs>
          <w:tab w:val="left" w:pos="1300"/>
        </w:tabs>
        <w:jc w:val="both"/>
        <w:rPr>
          <w:lang w:val="en-US"/>
        </w:rPr>
      </w:pPr>
      <w:r w:rsidRPr="00EC4C33">
        <w:rPr>
          <w:lang w:val="en-US"/>
        </w:rPr>
        <w:t xml:space="preserve">In Rel-16 NR-U, </w:t>
      </w:r>
      <w:r w:rsidR="005B0C37">
        <w:rPr>
          <w:lang w:val="en-US"/>
        </w:rPr>
        <w:t>four</w:t>
      </w:r>
      <w:r w:rsidRPr="00EC4C33">
        <w:rPr>
          <w:lang w:val="en-US"/>
        </w:rPr>
        <w:t xml:space="preserve"> CAPC </w:t>
      </w:r>
      <w:r>
        <w:rPr>
          <w:lang w:val="en-US"/>
        </w:rPr>
        <w:t xml:space="preserve">are supported, which are also specified in the regulation. For 60 GHz unlicensed band, there is </w:t>
      </w:r>
      <w:r w:rsidR="005B0C37">
        <w:rPr>
          <w:lang w:val="en-US"/>
        </w:rPr>
        <w:t xml:space="preserve">no </w:t>
      </w:r>
      <w:r>
        <w:rPr>
          <w:lang w:val="en-US"/>
        </w:rPr>
        <w:t xml:space="preserve">such requirement in regulation, and CAPC is no need to be explicitly supported. gNB can choose a larger CWS or shorter channel occupancy time by implementation to achieve the purpose of adjusting the channel access priority. </w:t>
      </w:r>
    </w:p>
    <w:p w14:paraId="27745247" w14:textId="4B8310BE" w:rsidR="00EC4C33" w:rsidRPr="00EC4C33" w:rsidRDefault="00EC4C33" w:rsidP="00EC4C33">
      <w:pPr>
        <w:tabs>
          <w:tab w:val="left" w:pos="1300"/>
        </w:tabs>
        <w:jc w:val="both"/>
        <w:rPr>
          <w:b/>
          <w:u w:val="single"/>
        </w:rPr>
      </w:pPr>
      <w:r w:rsidRPr="00EC4C33">
        <w:rPr>
          <w:b/>
          <w:u w:val="single"/>
        </w:rPr>
        <w:t xml:space="preserve">Proposal </w:t>
      </w:r>
      <w:r w:rsidR="008B47A3">
        <w:rPr>
          <w:b/>
          <w:u w:val="single"/>
        </w:rPr>
        <w:t>5</w:t>
      </w:r>
      <w:r w:rsidRPr="00EC4C33">
        <w:rPr>
          <w:b/>
          <w:u w:val="single"/>
        </w:rPr>
        <w:t>: No need to define C</w:t>
      </w:r>
      <w:r>
        <w:rPr>
          <w:b/>
          <w:u w:val="single"/>
        </w:rPr>
        <w:t>APC for 60 GHz unlicensed band.</w:t>
      </w:r>
    </w:p>
    <w:p w14:paraId="7BD0AB5C" w14:textId="50B9E780" w:rsidR="0068426A" w:rsidRDefault="0068426A" w:rsidP="0068426A">
      <w:pPr>
        <w:pStyle w:val="Heading2"/>
        <w:rPr>
          <w:lang w:val="en-US"/>
        </w:rPr>
      </w:pPr>
      <w:r>
        <w:rPr>
          <w:lang w:val="en-US"/>
        </w:rPr>
        <w:t>ED Threshold</w:t>
      </w:r>
    </w:p>
    <w:p w14:paraId="4E10F696" w14:textId="59453073" w:rsidR="0068426A" w:rsidRDefault="003F1D26" w:rsidP="003F1D26">
      <w:pPr>
        <w:tabs>
          <w:tab w:val="left" w:pos="1300"/>
        </w:tabs>
        <w:jc w:val="both"/>
      </w:pPr>
      <w:r>
        <w:rPr>
          <w:lang w:val="en-US"/>
        </w:rPr>
        <w:t>In Rel-16 NR-U, ED threshold is determined</w:t>
      </w:r>
      <w:r w:rsidR="00602DF3">
        <w:rPr>
          <w:lang w:val="en-US"/>
        </w:rPr>
        <w:t xml:space="preserve"> based on </w:t>
      </w:r>
      <w:r w:rsidR="008A7500">
        <w:rPr>
          <w:lang w:val="en-US"/>
        </w:rPr>
        <w:t xml:space="preserve">channel bandwidth and </w:t>
      </w:r>
      <w:r w:rsidR="00602DF3">
        <w:rPr>
          <w:lang w:val="en-US"/>
        </w:rPr>
        <w:t>whether other techno</w:t>
      </w:r>
      <w:r>
        <w:rPr>
          <w:lang w:val="en-US"/>
        </w:rPr>
        <w:t>logy</w:t>
      </w:r>
      <w:r w:rsidR="008A7500">
        <w:rPr>
          <w:lang w:val="en-US"/>
        </w:rPr>
        <w:t xml:space="preserve"> is absent, but these considerations are not included in the ED threshold as in </w:t>
      </w:r>
      <w:r w:rsidR="008A7500" w:rsidRPr="00B15891">
        <w:t>EN 302 567</w:t>
      </w:r>
      <w:r w:rsidR="008A7500">
        <w:t xml:space="preserve">. RAN1 shall further investigate how to take such design aspects into account for 60 GHz unlicensed band. </w:t>
      </w:r>
    </w:p>
    <w:p w14:paraId="4E60A443" w14:textId="255DD39D" w:rsidR="008A7500" w:rsidRDefault="008A7500" w:rsidP="003F1D26">
      <w:pPr>
        <w:tabs>
          <w:tab w:val="left" w:pos="1300"/>
        </w:tabs>
        <w:jc w:val="both"/>
      </w:pPr>
      <w:r>
        <w:t xml:space="preserve">Moreover, to address the nature </w:t>
      </w:r>
      <w:r w:rsidR="005B0C37">
        <w:t xml:space="preserve">of </w:t>
      </w:r>
      <w:r>
        <w:t>highly directional transmission</w:t>
      </w:r>
      <w:r w:rsidR="005B0C37">
        <w:t xml:space="preserve"> in 60 GHz unlicensed band</w:t>
      </w:r>
      <w:r>
        <w:t xml:space="preserve">, beam related parameters should also be taken into account for the ED threshold, including the beamforming gain and/or beam direction for </w:t>
      </w:r>
      <w:r>
        <w:lastRenderedPageBreak/>
        <w:t>transmission and/or receiving. Using a different ED threshold, comparing to omni-directional LBT, is beneficial for discovering interference situation</w:t>
      </w:r>
      <w:r w:rsidR="005B0C37">
        <w:t xml:space="preserve"> for directional LBT</w:t>
      </w:r>
      <w:r>
        <w:t xml:space="preserve">. </w:t>
      </w:r>
    </w:p>
    <w:p w14:paraId="4A6692DF" w14:textId="42B5F00C" w:rsidR="008A7500" w:rsidRPr="008A7500" w:rsidRDefault="00DC093C" w:rsidP="003F1D26">
      <w:pPr>
        <w:tabs>
          <w:tab w:val="left" w:pos="1300"/>
        </w:tabs>
        <w:jc w:val="both"/>
        <w:rPr>
          <w:b/>
          <w:u w:val="single"/>
        </w:rPr>
      </w:pPr>
      <w:r>
        <w:rPr>
          <w:b/>
          <w:u w:val="single"/>
        </w:rPr>
        <w:t>Proposal 6</w:t>
      </w:r>
      <w:r w:rsidR="008A7500" w:rsidRPr="008A7500">
        <w:rPr>
          <w:b/>
          <w:u w:val="single"/>
        </w:rPr>
        <w:t>: ED threshold should depend on</w:t>
      </w:r>
      <w:r w:rsidR="008A7500">
        <w:rPr>
          <w:b/>
          <w:u w:val="single"/>
        </w:rPr>
        <w:t>:</w:t>
      </w:r>
    </w:p>
    <w:p w14:paraId="4F3E158C" w14:textId="2E257DA1"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Whether other technology sharing the channel is absent or not on a long-term basis</w:t>
      </w:r>
      <w:r w:rsidR="00DB55EF">
        <w:rPr>
          <w:b/>
          <w:u w:val="single"/>
          <w:lang w:val="en-US"/>
        </w:rPr>
        <w:t>;</w:t>
      </w:r>
    </w:p>
    <w:p w14:paraId="603C08BA" w14:textId="08EF95AF"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LBT bandwidth</w:t>
      </w:r>
      <w:r w:rsidR="00EA293D">
        <w:rPr>
          <w:b/>
          <w:u w:val="single"/>
          <w:lang w:val="en-US"/>
        </w:rPr>
        <w:t xml:space="preserve"> (which is operation channel bandwidth in regulation)</w:t>
      </w:r>
      <w:r w:rsidR="00DB55EF">
        <w:rPr>
          <w:b/>
          <w:u w:val="single"/>
          <w:lang w:val="en-US"/>
        </w:rPr>
        <w:t>;</w:t>
      </w:r>
    </w:p>
    <w:p w14:paraId="3DBC4BCC" w14:textId="3510D832"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74565B36" w14:textId="6C7B8601" w:rsidR="0028289A" w:rsidRDefault="000D6DAD"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Short Control Signal</w:t>
      </w:r>
      <w:r w:rsidR="008B47A3">
        <w:rPr>
          <w:szCs w:val="20"/>
          <w:lang w:val="en-US"/>
        </w:rPr>
        <w:t>ling</w:t>
      </w:r>
    </w:p>
    <w:p w14:paraId="212D5D07" w14:textId="022508C0" w:rsidR="00EC5B50" w:rsidRDefault="001E59F7" w:rsidP="00EC5B50">
      <w:pPr>
        <w:tabs>
          <w:tab w:val="left" w:pos="1300"/>
        </w:tabs>
        <w:jc w:val="both"/>
        <w:rPr>
          <w:lang w:val="en-US"/>
        </w:rPr>
      </w:pPr>
      <w:r>
        <w:rPr>
          <w:lang w:val="en-US"/>
        </w:rPr>
        <w:t xml:space="preserve">In </w:t>
      </w:r>
      <w:r w:rsidR="008B47A3">
        <w:rPr>
          <w:lang w:val="en-US"/>
        </w:rPr>
        <w:t xml:space="preserve">the last meeting [1], </w:t>
      </w:r>
      <w:r w:rsidR="00C922A1">
        <w:rPr>
          <w:lang w:val="en-US"/>
        </w:rPr>
        <w:t>msg1 for 4-step RACH and msgA for 2-step RACH</w:t>
      </w:r>
      <w:r w:rsidR="008B47A3">
        <w:rPr>
          <w:lang w:val="en-US"/>
        </w:rPr>
        <w:t xml:space="preserve"> has been agreed to be part of the </w:t>
      </w:r>
      <w:r w:rsidR="00377B6E">
        <w:rPr>
          <w:lang w:val="en-US"/>
        </w:rPr>
        <w:t xml:space="preserve">short control signaling, </w:t>
      </w:r>
      <w:r w:rsidR="00C922A1">
        <w:rPr>
          <w:lang w:val="en-US"/>
        </w:rPr>
        <w:t xml:space="preserve">in addition to SS/PBCH blocks that has been agreed, </w:t>
      </w:r>
      <w:r w:rsidR="00377B6E">
        <w:rPr>
          <w:lang w:val="en-US"/>
        </w:rPr>
        <w:t>and other DL and UL signal and channel are up to further discussion</w:t>
      </w:r>
      <w:r w:rsidR="00DB55EF">
        <w:rPr>
          <w:lang w:val="en-US"/>
        </w:rPr>
        <w:t xml:space="preserve">. </w:t>
      </w:r>
    </w:p>
    <w:p w14:paraId="5D8140BA" w14:textId="61CD5ED4" w:rsidR="00DB55EF" w:rsidRDefault="00DB55EF" w:rsidP="00EC5B50">
      <w:pPr>
        <w:tabs>
          <w:tab w:val="left" w:pos="1300"/>
        </w:tabs>
        <w:jc w:val="both"/>
        <w:rPr>
          <w:lang w:val="en-US"/>
        </w:rPr>
      </w:pPr>
      <w:r>
        <w:rPr>
          <w:lang w:val="en-US"/>
        </w:rPr>
        <w:t>First of all, the intention to s</w:t>
      </w:r>
      <w:r w:rsidR="000D6DAD">
        <w:rPr>
          <w:lang w:val="en-US"/>
        </w:rPr>
        <w:t>upport “short control signal</w:t>
      </w:r>
      <w:r w:rsidR="00377B6E">
        <w:rPr>
          <w:lang w:val="en-US"/>
        </w:rPr>
        <w:t>ling</w:t>
      </w:r>
      <w:r>
        <w:rPr>
          <w:lang w:val="en-US"/>
        </w:rPr>
        <w:t xml:space="preserve">” is to prioritize its </w:t>
      </w:r>
      <w:r w:rsidR="005B0C37">
        <w:rPr>
          <w:lang w:val="en-US"/>
        </w:rPr>
        <w:t xml:space="preserve">channel occupancy </w:t>
      </w:r>
      <w:r>
        <w:rPr>
          <w:lang w:val="en-US"/>
        </w:rPr>
        <w:t xml:space="preserve">comparing to others, and if applying same principle in Rel-16 NR-U, at least signals and channels in discovery burst </w:t>
      </w:r>
      <w:r w:rsidR="00A863FA">
        <w:rPr>
          <w:lang w:val="en-US"/>
        </w:rPr>
        <w:t xml:space="preserve">and non-unicast information </w:t>
      </w:r>
      <w:r>
        <w:rPr>
          <w:lang w:val="en-US"/>
        </w:rPr>
        <w:t>should be suppor</w:t>
      </w:r>
      <w:r w:rsidR="000D6DAD">
        <w:rPr>
          <w:lang w:val="en-US"/>
        </w:rPr>
        <w:t>ted as “short control signal</w:t>
      </w:r>
      <w:r>
        <w:rPr>
          <w:lang w:val="en-US"/>
        </w:rPr>
        <w:t xml:space="preserve">” in 60 GHz unlicensed band. </w:t>
      </w:r>
    </w:p>
    <w:p w14:paraId="52EDB794" w14:textId="781B7A0A" w:rsidR="00A863FA" w:rsidRDefault="005B0C37" w:rsidP="00EC5B50">
      <w:pPr>
        <w:tabs>
          <w:tab w:val="left" w:pos="1300"/>
        </w:tabs>
        <w:jc w:val="both"/>
        <w:rPr>
          <w:lang w:val="en-US"/>
        </w:rPr>
      </w:pPr>
      <w:r>
        <w:rPr>
          <w:lang w:val="en-US"/>
        </w:rPr>
        <w:t>Moreover</w:t>
      </w:r>
      <w:r w:rsidR="00A863FA">
        <w:rPr>
          <w:lang w:val="en-US"/>
        </w:rPr>
        <w:t>, in order to limit the us</w:t>
      </w:r>
      <w:r w:rsidR="000D6DAD">
        <w:rPr>
          <w:lang w:val="en-US"/>
        </w:rPr>
        <w:t>age of “short control signal</w:t>
      </w:r>
      <w:r w:rsidR="00377B6E">
        <w:rPr>
          <w:lang w:val="en-US"/>
        </w:rPr>
        <w:t>ling</w:t>
      </w:r>
      <w:r w:rsidR="00A863FA">
        <w:rPr>
          <w:lang w:val="en-US"/>
        </w:rPr>
        <w:t>”, the transmission duration and duty cycle should be restricted such that fair coexistence with other technology can be guaranteed. If there is associated condition on the transmission duration and duty cycle, or additional condition on</w:t>
      </w:r>
      <w:r w:rsidR="000D6DAD">
        <w:rPr>
          <w:lang w:val="en-US"/>
        </w:rPr>
        <w:t xml:space="preserve"> using “short control signal</w:t>
      </w:r>
      <w:r w:rsidR="00377B6E">
        <w:rPr>
          <w:lang w:val="en-US"/>
        </w:rPr>
        <w:t>ling</w:t>
      </w:r>
      <w:r w:rsidR="00A863FA">
        <w:rPr>
          <w:lang w:val="en-US"/>
        </w:rPr>
        <w:t xml:space="preserve">” from the regulation, RAN1 shall specify such conditions as well; if not, similar condition for Rel-16 NR-U can be used for 60 GHz unlicensed band. </w:t>
      </w:r>
    </w:p>
    <w:p w14:paraId="41C00EF4" w14:textId="313183BD" w:rsidR="00A863FA" w:rsidRPr="00A863FA" w:rsidRDefault="00DC093C" w:rsidP="00EC5B50">
      <w:pPr>
        <w:tabs>
          <w:tab w:val="left" w:pos="1300"/>
        </w:tabs>
        <w:jc w:val="both"/>
        <w:rPr>
          <w:b/>
          <w:u w:val="single"/>
        </w:rPr>
      </w:pPr>
      <w:r>
        <w:rPr>
          <w:b/>
          <w:u w:val="single"/>
        </w:rPr>
        <w:t>Proposal 7</w:t>
      </w:r>
      <w:r w:rsidR="00A863FA" w:rsidRPr="00A863FA">
        <w:rPr>
          <w:b/>
          <w:u w:val="single"/>
        </w:rPr>
        <w:t>: For “short control signal</w:t>
      </w:r>
      <w:r w:rsidR="00377B6E">
        <w:rPr>
          <w:b/>
          <w:u w:val="single"/>
        </w:rPr>
        <w:t>ling</w:t>
      </w:r>
      <w:r w:rsidR="00A863FA" w:rsidRPr="00A863FA">
        <w:rPr>
          <w:b/>
          <w:u w:val="single"/>
        </w:rPr>
        <w:t>”:</w:t>
      </w:r>
    </w:p>
    <w:p w14:paraId="72D418C9" w14:textId="73EB7138" w:rsidR="00377B6E" w:rsidRPr="00377B6E" w:rsidRDefault="00377B6E" w:rsidP="00B0672A">
      <w:pPr>
        <w:pStyle w:val="ListParagraph"/>
        <w:numPr>
          <w:ilvl w:val="0"/>
          <w:numId w:val="8"/>
        </w:numPr>
        <w:ind w:leftChars="0"/>
        <w:jc w:val="both"/>
        <w:rPr>
          <w:b/>
          <w:u w:val="single"/>
          <w:lang w:val="en-US"/>
        </w:rPr>
      </w:pPr>
      <w:r>
        <w:rPr>
          <w:b/>
          <w:u w:val="single"/>
          <w:lang w:val="en-US"/>
        </w:rPr>
        <w:t xml:space="preserve">support </w:t>
      </w:r>
      <w:r w:rsidR="000D49E9">
        <w:rPr>
          <w:b/>
          <w:u w:val="single"/>
          <w:lang w:val="en-US"/>
        </w:rPr>
        <w:t xml:space="preserve">at least </w:t>
      </w:r>
      <w:r>
        <w:rPr>
          <w:b/>
          <w:u w:val="single"/>
          <w:lang w:val="en-US"/>
        </w:rPr>
        <w:t>discovery burst as part of the short control signalling;</w:t>
      </w:r>
    </w:p>
    <w:p w14:paraId="6D0144B8" w14:textId="75777367" w:rsidR="00A863FA" w:rsidRPr="00A863FA" w:rsidRDefault="00A863FA" w:rsidP="00B0672A">
      <w:pPr>
        <w:pStyle w:val="ListParagraph"/>
        <w:numPr>
          <w:ilvl w:val="0"/>
          <w:numId w:val="8"/>
        </w:numPr>
        <w:ind w:leftChars="0"/>
        <w:jc w:val="both"/>
        <w:rPr>
          <w:b/>
          <w:u w:val="single"/>
          <w:lang w:val="en-US"/>
        </w:rPr>
      </w:pPr>
      <w:r>
        <w:rPr>
          <w:b/>
          <w:u w:val="single"/>
          <w:lang w:val="en-US"/>
        </w:rPr>
        <w:t>s</w:t>
      </w:r>
      <w:r w:rsidRPr="00A863FA">
        <w:rPr>
          <w:b/>
          <w:u w:val="single"/>
          <w:lang w:val="en-US"/>
        </w:rPr>
        <w:t>upport limitation on the duty cycle to use “short control signal</w:t>
      </w:r>
      <w:r w:rsidR="00377B6E">
        <w:rPr>
          <w:b/>
          <w:u w:val="single"/>
          <w:lang w:val="en-US"/>
        </w:rPr>
        <w:t>ling</w:t>
      </w:r>
      <w:r w:rsidRPr="00A863FA">
        <w:rPr>
          <w:b/>
          <w:u w:val="single"/>
          <w:lang w:val="en-US"/>
        </w:rPr>
        <w:t xml:space="preserve">”, wherein the duty cycle are defined from the </w:t>
      </w:r>
      <w:r w:rsidR="00CA624D">
        <w:rPr>
          <w:b/>
          <w:u w:val="single"/>
          <w:lang w:val="en-US"/>
        </w:rPr>
        <w:t>perspective of a node</w:t>
      </w:r>
      <w:r>
        <w:rPr>
          <w:b/>
          <w:u w:val="single"/>
          <w:lang w:val="en-US"/>
        </w:rPr>
        <w:t>.</w:t>
      </w:r>
    </w:p>
    <w:p w14:paraId="53F34F7A" w14:textId="52B3149E" w:rsidR="0028289A" w:rsidRDefault="00CE5ECF" w:rsidP="00EC5B5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Directional LBT</w:t>
      </w:r>
      <w:r w:rsidR="008B47A3">
        <w:rPr>
          <w:szCs w:val="20"/>
          <w:lang w:val="en-US"/>
        </w:rPr>
        <w:t xml:space="preserve"> and Multi-beam COT</w:t>
      </w:r>
    </w:p>
    <w:p w14:paraId="39E155FB" w14:textId="0FC37214" w:rsidR="00EC5B50" w:rsidRPr="00EC5B50" w:rsidRDefault="00EC5B50" w:rsidP="00EC5B50">
      <w:pPr>
        <w:tabs>
          <w:tab w:val="left" w:pos="1300"/>
        </w:tabs>
        <w:jc w:val="both"/>
        <w:rPr>
          <w:lang w:val="en-US"/>
        </w:rPr>
      </w:pPr>
      <w:bookmarkStart w:id="4" w:name="_Ref61268998"/>
      <w:r w:rsidRPr="00EC5B50">
        <w:rPr>
          <w:lang w:val="en-US"/>
        </w:rPr>
        <w:t xml:space="preserve">For currently supported unlicensed technic in 3GPP, including LTE LAA and </w:t>
      </w:r>
      <w:r w:rsidR="005B0C37">
        <w:rPr>
          <w:lang w:val="en-US"/>
        </w:rPr>
        <w:t xml:space="preserve">Rel-16 </w:t>
      </w:r>
      <w:r w:rsidRPr="00EC5B50">
        <w:rPr>
          <w:lang w:val="en-US"/>
        </w:rPr>
        <w:t xml:space="preserve">NR-U, a baseline to perform LBT is omni-directional sensing by the potential transmitter. However, the operation </w:t>
      </w:r>
      <w:r w:rsidR="005B0C37">
        <w:rPr>
          <w:lang w:val="en-US"/>
        </w:rPr>
        <w:t>from</w:t>
      </w:r>
      <w:r w:rsidR="005B0C37" w:rsidRPr="00EC5B50">
        <w:rPr>
          <w:lang w:val="en-US"/>
        </w:rPr>
        <w:t xml:space="preserve"> </w:t>
      </w:r>
      <w:r w:rsidRPr="00EC5B50">
        <w:rPr>
          <w:lang w:val="en-US"/>
        </w:rPr>
        <w:t>5</w:t>
      </w:r>
      <w:r w:rsidR="005B0C37">
        <w:rPr>
          <w:lang w:val="en-US"/>
        </w:rPr>
        <w:t>2.6</w:t>
      </w:r>
      <w:r w:rsidRPr="00EC5B50">
        <w:rPr>
          <w:lang w:val="en-US"/>
        </w:rPr>
        <w:t xml:space="preserve"> GHz </w:t>
      </w:r>
      <w:r w:rsidR="005B0C37">
        <w:rPr>
          <w:lang w:val="en-US"/>
        </w:rPr>
        <w:t>to</w:t>
      </w:r>
      <w:r w:rsidRPr="00EC5B50">
        <w:rPr>
          <w:lang w:val="en-US"/>
        </w:rPr>
        <w:t xml:space="preserve"> 71 GHz is highly directional, wherein the configurations of antenna for both transmission and reception are beamformed according to the targeted direction. One option to cope with directional transmission and reception on the 60 GHz unlicensed band and to improve spatial reuse is for the potential transmitter to perform a LBT according to the same direction as its intended transmit beam direction, so called “directional LBT”.  </w:t>
      </w:r>
    </w:p>
    <w:p w14:paraId="2FC2D1FF" w14:textId="25A7AF8C" w:rsidR="00EC5B50" w:rsidRDefault="00EC5B50" w:rsidP="00EC5B50">
      <w:pPr>
        <w:tabs>
          <w:tab w:val="left" w:pos="1300"/>
        </w:tabs>
        <w:jc w:val="both"/>
        <w:rPr>
          <w:lang w:val="en-US"/>
        </w:rPr>
      </w:pPr>
      <w:r w:rsidRPr="00EC5B50">
        <w:rPr>
          <w:lang w:val="en-US"/>
        </w:rPr>
        <w:t>Compared to the baseline omni-directional LBT, directional LBT can lead to better channel access probability and correspondingly better spatial reuse under the same ED threshold</w:t>
      </w:r>
      <w:r w:rsidR="005B0C37">
        <w:rPr>
          <w:lang w:val="en-US"/>
        </w:rPr>
        <w:t xml:space="preserve"> as omni-directional LBT</w:t>
      </w:r>
      <w:r w:rsidR="0030373E">
        <w:rPr>
          <w:lang w:val="en-US"/>
        </w:rPr>
        <w:t>, and the gain is expected to be larger by using a different ED threshold for directional LBT</w:t>
      </w:r>
      <w:r w:rsidRPr="00EC5B50">
        <w:rPr>
          <w:lang w:val="en-US"/>
        </w:rPr>
        <w:t xml:space="preserve">. The channel access gain for directional LBT will further outweigh its potential SINR performance loss compared to omni-directional LBT, which correspondingly will lead to a better throughput performance than the omni-directional LBT. </w:t>
      </w:r>
    </w:p>
    <w:p w14:paraId="0EC92A2F" w14:textId="609E219A" w:rsidR="00AA0CE0" w:rsidRDefault="00AA0CE0" w:rsidP="00EC5B50">
      <w:pPr>
        <w:tabs>
          <w:tab w:val="left" w:pos="1300"/>
        </w:tabs>
        <w:jc w:val="both"/>
        <w:rPr>
          <w:lang w:val="en-US"/>
        </w:rPr>
      </w:pPr>
      <w:r>
        <w:rPr>
          <w:lang w:val="en-US"/>
        </w:rPr>
        <w:t xml:space="preserve">The key issue for supporting directional LBT is to define the spatial parameter for antenna configuration between transmission beam and receiving beam, i.e., how to define “cover” as discussed in the last meeting [1]. In particular, the following proposal was discussed in the last meeting: </w:t>
      </w:r>
    </w:p>
    <w:p w14:paraId="7EE7B8C7" w14:textId="609E219A" w:rsidR="00AA0CE0" w:rsidRDefault="00AA0CE0" w:rsidP="00AA0CE0">
      <w:pPr>
        <w:tabs>
          <w:tab w:val="left" w:pos="1300"/>
        </w:tabs>
        <w:jc w:val="both"/>
        <w:rPr>
          <w:lang w:val="en-US"/>
        </w:rPr>
      </w:pPr>
      <w:r>
        <w:rPr>
          <w:lang w:val="en-US"/>
        </w:rPr>
        <w:t xml:space="preserve">Proposal: </w:t>
      </w:r>
    </w:p>
    <w:p w14:paraId="79336C7C" w14:textId="513BD1AD" w:rsidR="00AA0CE0" w:rsidRPr="00AA0CE0" w:rsidRDefault="00AA0CE0" w:rsidP="00AA0CE0">
      <w:pPr>
        <w:tabs>
          <w:tab w:val="left" w:pos="1300"/>
        </w:tabs>
        <w:jc w:val="both"/>
        <w:rPr>
          <w:lang w:val="en-US"/>
        </w:rPr>
      </w:pPr>
      <w:r w:rsidRPr="00AA0CE0">
        <w:rPr>
          <w:lang w:val="en-US"/>
        </w:rPr>
        <w:t>3GPP specification defines the relative relationship between all applicable sensing beams and the transmission beam(s), at least sensing beam “covers” the transmission beam(s). Choose one of the following alternatives:</w:t>
      </w:r>
    </w:p>
    <w:p w14:paraId="44D5D4C5" w14:textId="77777777" w:rsidR="00AA0CE0" w:rsidRPr="00AA0CE0" w:rsidRDefault="00AA0CE0" w:rsidP="00B0672A">
      <w:pPr>
        <w:pStyle w:val="ListParagraph"/>
        <w:numPr>
          <w:ilvl w:val="0"/>
          <w:numId w:val="18"/>
        </w:numPr>
        <w:tabs>
          <w:tab w:val="left" w:pos="1300"/>
        </w:tabs>
        <w:ind w:leftChars="0"/>
        <w:jc w:val="both"/>
        <w:rPr>
          <w:lang w:val="en-US"/>
        </w:rPr>
      </w:pPr>
      <w:r w:rsidRPr="00AA0CE0">
        <w:rPr>
          <w:lang w:val="en-US"/>
        </w:rPr>
        <w:t>Alt 1. To define “cover”, the angle included in the [3]dB beamwidth of the transmission beam(s) is included in the [3]dB beamwidth of the sensing beam</w:t>
      </w:r>
    </w:p>
    <w:p w14:paraId="5A506FFE" w14:textId="77777777" w:rsidR="00AA0CE0" w:rsidRPr="00AA0CE0" w:rsidRDefault="00AA0CE0" w:rsidP="00B0672A">
      <w:pPr>
        <w:pStyle w:val="ListParagraph"/>
        <w:numPr>
          <w:ilvl w:val="0"/>
          <w:numId w:val="18"/>
        </w:numPr>
        <w:tabs>
          <w:tab w:val="left" w:pos="1300"/>
        </w:tabs>
        <w:ind w:leftChars="0"/>
        <w:jc w:val="both"/>
        <w:rPr>
          <w:lang w:val="en-US"/>
        </w:rPr>
      </w:pPr>
      <w:r w:rsidRPr="00AA0CE0">
        <w:rPr>
          <w:lang w:val="en-US"/>
        </w:rPr>
        <w:t>Alt 2. Extending the beam correspondence framework and/or QCL/TCI framework to define “cover”</w:t>
      </w:r>
    </w:p>
    <w:p w14:paraId="5AE548BA" w14:textId="77777777" w:rsidR="00AA0CE0" w:rsidRPr="00AA0CE0" w:rsidRDefault="00AA0CE0" w:rsidP="00B0672A">
      <w:pPr>
        <w:pStyle w:val="ListParagraph"/>
        <w:numPr>
          <w:ilvl w:val="0"/>
          <w:numId w:val="18"/>
        </w:numPr>
        <w:tabs>
          <w:tab w:val="left" w:pos="1300"/>
        </w:tabs>
        <w:ind w:leftChars="0"/>
        <w:jc w:val="both"/>
        <w:rPr>
          <w:lang w:val="en-US"/>
        </w:rPr>
      </w:pPr>
      <w:r w:rsidRPr="00AA0CE0">
        <w:rPr>
          <w:lang w:val="en-US"/>
        </w:rPr>
        <w:lastRenderedPageBreak/>
        <w:t>Alt 3. Leave RAN4 to define cover</w:t>
      </w:r>
    </w:p>
    <w:p w14:paraId="2D7C0C81" w14:textId="2858DA1D" w:rsidR="00AA0CE0" w:rsidRDefault="00AA0CE0" w:rsidP="00EC5B50">
      <w:pPr>
        <w:tabs>
          <w:tab w:val="left" w:pos="1300"/>
        </w:tabs>
        <w:jc w:val="both"/>
      </w:pPr>
      <w:r>
        <w:t xml:space="preserve">In our view, the work for defining “cover” should fall into RAN1’s scope, and between Alt 1 and Alt 2, Alt 2 has a better description regarding the 3GPP specification language, hence, is preferred. </w:t>
      </w:r>
    </w:p>
    <w:p w14:paraId="73B46558" w14:textId="00EBF0AC" w:rsidR="00AA0CE0" w:rsidRDefault="00B66673" w:rsidP="00EC5B50">
      <w:pPr>
        <w:tabs>
          <w:tab w:val="left" w:pos="1300"/>
        </w:tabs>
        <w:jc w:val="both"/>
      </w:pPr>
      <w:r>
        <w:t xml:space="preserve">Regarding the details of extending the </w:t>
      </w:r>
      <w:r w:rsidRPr="00AA0CE0">
        <w:rPr>
          <w:lang w:val="en-US"/>
        </w:rPr>
        <w:t>beam correspondence framework and/or QCL/TCI framework</w:t>
      </w:r>
      <w:r>
        <w:rPr>
          <w:lang w:val="en-US"/>
        </w:rPr>
        <w:t xml:space="preserve">, we observed that current </w:t>
      </w:r>
      <w:r w:rsidRPr="00AA0CE0">
        <w:rPr>
          <w:lang w:val="en-US"/>
        </w:rPr>
        <w:t>beam correspondence framework and/or QCL/TCI framework</w:t>
      </w:r>
      <w:r>
        <w:rPr>
          <w:lang w:val="en-US"/>
        </w:rPr>
        <w:t xml:space="preserve"> can only support </w:t>
      </w:r>
      <w:r w:rsidRPr="00B66673">
        <w:rPr>
          <w:lang w:val="en-US"/>
        </w:rPr>
        <w:t>the source RS signal in a QCL-D relationship either has the same or broader beamwidth than the target RS signal</w:t>
      </w:r>
      <w:r>
        <w:rPr>
          <w:lang w:val="en-US"/>
        </w:rPr>
        <w:t xml:space="preserve">, which may not be sufficient to support the definition of “cover” in directional sensing. One possible solution could be introducing a new type of QCL relationship for this purpose, e.g. “QCL Type E”. </w:t>
      </w:r>
    </w:p>
    <w:p w14:paraId="0781C236" w14:textId="32CAB5C0" w:rsidR="00B66673" w:rsidRDefault="00B66673" w:rsidP="00B66673">
      <w:pPr>
        <w:tabs>
          <w:tab w:val="left" w:pos="1300"/>
        </w:tabs>
        <w:jc w:val="both"/>
      </w:pPr>
      <w:r>
        <w:t xml:space="preserve">For DL, a gNB can use spatial domain sensing filter(s) that is the same as the spatial domain transmission filter(s) used for the subsequent transmission(s) during COT, e.g. based on the new type of QCL information provided to the intended UE in association with a DL RS, or in associated with any another DL-RS QCLed with that DL-RS. </w:t>
      </w:r>
    </w:p>
    <w:p w14:paraId="39C59CE7" w14:textId="6B9C0947" w:rsidR="00AA0CE0" w:rsidRDefault="00B66673" w:rsidP="00B66673">
      <w:pPr>
        <w:tabs>
          <w:tab w:val="left" w:pos="1300"/>
        </w:tabs>
        <w:jc w:val="both"/>
      </w:pPr>
      <w:r>
        <w:t>For UL, a UE can use spatial domain sensing filter(s) that is the same as the spatial domain transmission filter(s) used for the subsequent transmission(s) during COT, e.g. based on the new type of QCL information provided to the intended UE in association with DL RS (s) for UL transmission(s), or in associated with any another DL-RS QCLed with that DL-RS (s) for UL transmission(s).</w:t>
      </w:r>
    </w:p>
    <w:p w14:paraId="4DAF2B98" w14:textId="756D76F1" w:rsidR="00B66673" w:rsidRDefault="00DC093C" w:rsidP="00EC5B50">
      <w:pPr>
        <w:tabs>
          <w:tab w:val="left" w:pos="1300"/>
        </w:tabs>
        <w:jc w:val="both"/>
        <w:rPr>
          <w:b/>
          <w:u w:val="single"/>
        </w:rPr>
      </w:pPr>
      <w:r>
        <w:rPr>
          <w:b/>
          <w:u w:val="single"/>
        </w:rPr>
        <w:t>Proposal 8</w:t>
      </w:r>
      <w:r w:rsidR="00B66673">
        <w:rPr>
          <w:b/>
          <w:u w:val="single"/>
        </w:rPr>
        <w:t>:</w:t>
      </w:r>
    </w:p>
    <w:p w14:paraId="2C6C332C" w14:textId="1DD08544" w:rsidR="00B66673" w:rsidRPr="00B66673" w:rsidRDefault="00B66673" w:rsidP="00B0672A">
      <w:pPr>
        <w:pStyle w:val="ListParagraph"/>
        <w:numPr>
          <w:ilvl w:val="0"/>
          <w:numId w:val="20"/>
        </w:numPr>
        <w:tabs>
          <w:tab w:val="left" w:pos="1300"/>
        </w:tabs>
        <w:ind w:leftChars="0"/>
        <w:jc w:val="both"/>
        <w:rPr>
          <w:b/>
          <w:u w:val="single"/>
        </w:rPr>
      </w:pPr>
      <w:r w:rsidRPr="00B66673">
        <w:rPr>
          <w:b/>
          <w:u w:val="single"/>
        </w:rPr>
        <w:t>Support extending the beam correspondence framework and/or QCL/TCI framework to define “cover” (Alt 2)</w:t>
      </w:r>
      <w:r>
        <w:rPr>
          <w:b/>
          <w:u w:val="single"/>
        </w:rPr>
        <w:t>;</w:t>
      </w:r>
    </w:p>
    <w:p w14:paraId="2B6E3AC3" w14:textId="284B2909" w:rsidR="00AA0CE0" w:rsidRPr="00B66673" w:rsidRDefault="00B66673" w:rsidP="00B0672A">
      <w:pPr>
        <w:pStyle w:val="ListParagraph"/>
        <w:numPr>
          <w:ilvl w:val="0"/>
          <w:numId w:val="19"/>
        </w:numPr>
        <w:tabs>
          <w:tab w:val="left" w:pos="1300"/>
        </w:tabs>
        <w:ind w:leftChars="0"/>
        <w:jc w:val="both"/>
        <w:rPr>
          <w:b/>
          <w:u w:val="single"/>
        </w:rPr>
      </w:pPr>
      <w:r>
        <w:rPr>
          <w:b/>
          <w:u w:val="single"/>
        </w:rPr>
        <w:t xml:space="preserve">Support </w:t>
      </w:r>
      <w:r w:rsidRPr="00B66673">
        <w:rPr>
          <w:b/>
          <w:u w:val="single"/>
        </w:rPr>
        <w:t>a new type of QCL assumption to define the sensing beam covering the transmission beam</w:t>
      </w:r>
      <w:r>
        <w:rPr>
          <w:b/>
          <w:u w:val="single"/>
        </w:rPr>
        <w:t>.</w:t>
      </w:r>
    </w:p>
    <w:p w14:paraId="6B29F9E8" w14:textId="0C582A97" w:rsidR="00F9013B" w:rsidRPr="003161F7" w:rsidRDefault="00F9013B" w:rsidP="00B66673">
      <w:pPr>
        <w:jc w:val="both"/>
        <w:rPr>
          <w:rFonts w:cs="Times"/>
        </w:rPr>
      </w:pPr>
      <w:r>
        <w:rPr>
          <w:rFonts w:cs="Times"/>
        </w:rPr>
        <w:t>In the last meeting</w:t>
      </w:r>
      <w:r w:rsidR="0086109D">
        <w:rPr>
          <w:rFonts w:cs="Times"/>
        </w:rPr>
        <w:t xml:space="preserve"> [1]</w:t>
      </w:r>
      <w:r>
        <w:rPr>
          <w:rFonts w:cs="Times"/>
        </w:rPr>
        <w:t>, the following alternatives with directional LBT f</w:t>
      </w:r>
      <w:r w:rsidRPr="003161F7">
        <w:rPr>
          <w:rFonts w:cs="Times"/>
        </w:rPr>
        <w:t xml:space="preserve">or a COT </w:t>
      </w:r>
      <w:r>
        <w:rPr>
          <w:rFonts w:cs="Times"/>
        </w:rPr>
        <w:t xml:space="preserve">with MU-MIMO (SDM) transmission were considered: </w:t>
      </w:r>
      <w:r w:rsidRPr="003161F7">
        <w:rPr>
          <w:rFonts w:cs="Times"/>
        </w:rPr>
        <w:t xml:space="preserve"> </w:t>
      </w:r>
    </w:p>
    <w:p w14:paraId="44652CAC" w14:textId="77777777" w:rsidR="00F9013B" w:rsidRPr="003161F7" w:rsidRDefault="00F9013B" w:rsidP="00B0672A">
      <w:pPr>
        <w:pStyle w:val="ListParagraph"/>
        <w:numPr>
          <w:ilvl w:val="0"/>
          <w:numId w:val="13"/>
        </w:numPr>
        <w:overflowPunct w:val="0"/>
        <w:snapToGrid w:val="0"/>
        <w:spacing w:line="252" w:lineRule="auto"/>
        <w:ind w:leftChars="0"/>
        <w:jc w:val="both"/>
        <w:rPr>
          <w:rFonts w:cs="Times"/>
        </w:rPr>
      </w:pPr>
      <w:r w:rsidRPr="003161F7">
        <w:rPr>
          <w:rFonts w:cs="Times"/>
        </w:rPr>
        <w:t>Alt 1: Single LBT sensing at the start of the COT with wide beam ‘cover’ all beams to be used in the COT with appropriate ED threshold</w:t>
      </w:r>
    </w:p>
    <w:p w14:paraId="786F91D5" w14:textId="77777777" w:rsidR="00F9013B" w:rsidRPr="003161F7" w:rsidRDefault="00F9013B" w:rsidP="00B0672A">
      <w:pPr>
        <w:pStyle w:val="ListParagraph"/>
        <w:numPr>
          <w:ilvl w:val="0"/>
          <w:numId w:val="13"/>
        </w:numPr>
        <w:overflowPunct w:val="0"/>
        <w:snapToGrid w:val="0"/>
        <w:spacing w:line="252" w:lineRule="auto"/>
        <w:ind w:leftChars="0"/>
        <w:jc w:val="both"/>
        <w:rPr>
          <w:rFonts w:cs="Times"/>
        </w:rPr>
      </w:pPr>
      <w:r w:rsidRPr="003161F7">
        <w:rPr>
          <w:rFonts w:cs="Times"/>
        </w:rPr>
        <w:t>Alt 2: Independent per-beam LBT sensing at the start of COT is performed for beams used in the COT</w:t>
      </w:r>
    </w:p>
    <w:p w14:paraId="57BB39FD" w14:textId="6671FEEE" w:rsidR="00857AD1" w:rsidRDefault="00857AD1" w:rsidP="00B66673">
      <w:pPr>
        <w:tabs>
          <w:tab w:val="left" w:pos="1300"/>
        </w:tabs>
        <w:jc w:val="both"/>
        <w:rPr>
          <w:lang w:val="en-US"/>
        </w:rPr>
      </w:pPr>
      <w:r>
        <w:rPr>
          <w:lang w:val="en-US"/>
        </w:rPr>
        <w:t xml:space="preserve">An illustration of Alt </w:t>
      </w:r>
      <w:r w:rsidR="00F9013B">
        <w:rPr>
          <w:lang w:val="en-US"/>
        </w:rPr>
        <w:t>1</w:t>
      </w:r>
      <w:r>
        <w:rPr>
          <w:lang w:val="en-US"/>
        </w:rPr>
        <w:t xml:space="preserve"> and Alt </w:t>
      </w:r>
      <w:r w:rsidR="00F9013B">
        <w:rPr>
          <w:lang w:val="en-US"/>
        </w:rPr>
        <w:t>2</w:t>
      </w:r>
      <w:r>
        <w:rPr>
          <w:lang w:val="en-US"/>
        </w:rPr>
        <w:t xml:space="preserve"> is</w:t>
      </w:r>
      <w:r w:rsidR="00D526DD">
        <w:rPr>
          <w:lang w:val="en-US"/>
        </w:rPr>
        <w:t xml:space="preserve"> shown in </w:t>
      </w:r>
      <w:r w:rsidR="00EA293D">
        <w:rPr>
          <w:lang w:val="en-US"/>
        </w:rPr>
        <w:fldChar w:fldCharType="begin"/>
      </w:r>
      <w:r w:rsidR="00EA293D">
        <w:rPr>
          <w:lang w:val="en-US"/>
        </w:rPr>
        <w:instrText xml:space="preserve"> REF _Ref68097897 \h </w:instrText>
      </w:r>
      <w:r w:rsidR="00B66673">
        <w:rPr>
          <w:lang w:val="en-US"/>
        </w:rPr>
        <w:instrText xml:space="preserve"> \* MERGEFORMAT </w:instrText>
      </w:r>
      <w:r w:rsidR="00EA293D">
        <w:rPr>
          <w:lang w:val="en-US"/>
        </w:rPr>
      </w:r>
      <w:r w:rsidR="00EA293D">
        <w:rPr>
          <w:lang w:val="en-US"/>
        </w:rPr>
        <w:fldChar w:fldCharType="separate"/>
      </w:r>
      <w:r w:rsidR="00EA293D">
        <w:t xml:space="preserve">Figure </w:t>
      </w:r>
      <w:r w:rsidR="00EA293D">
        <w:rPr>
          <w:noProof/>
        </w:rPr>
        <w:t>1</w:t>
      </w:r>
      <w:r w:rsidR="00EA293D">
        <w:rPr>
          <w:lang w:val="en-US"/>
        </w:rPr>
        <w:fldChar w:fldCharType="end"/>
      </w:r>
      <w:r w:rsidR="00D526DD">
        <w:rPr>
          <w:lang w:val="en-US"/>
        </w:rPr>
        <w:t xml:space="preserve">. </w:t>
      </w:r>
      <w:r>
        <w:rPr>
          <w:lang w:val="en-US"/>
        </w:rPr>
        <w:t xml:space="preserve">It could be clear that the only difference between Alt </w:t>
      </w:r>
      <w:r w:rsidR="00F9013B">
        <w:rPr>
          <w:lang w:val="en-US"/>
        </w:rPr>
        <w:t>1</w:t>
      </w:r>
      <w:r>
        <w:rPr>
          <w:lang w:val="en-US"/>
        </w:rPr>
        <w:t xml:space="preserve"> and Alt </w:t>
      </w:r>
      <w:r w:rsidR="00F9013B">
        <w:rPr>
          <w:lang w:val="en-US"/>
        </w:rPr>
        <w:t>2</w:t>
      </w:r>
      <w:r>
        <w:rPr>
          <w:lang w:val="en-US"/>
        </w:rPr>
        <w:t xml:space="preserve"> is the sensing in the LBT part, and both alternative</w:t>
      </w:r>
      <w:r w:rsidR="005B0C37">
        <w:rPr>
          <w:lang w:val="en-US"/>
        </w:rPr>
        <w:t>s can be</w:t>
      </w:r>
      <w:r>
        <w:rPr>
          <w:lang w:val="en-US"/>
        </w:rPr>
        <w:t xml:space="preserve"> feasible based on transmitter’s capability. For example, if multi-TRP is equipped </w:t>
      </w:r>
      <w:r w:rsidR="00C35A56">
        <w:rPr>
          <w:lang w:val="en-US"/>
        </w:rPr>
        <w:t xml:space="preserve">at the transmitter, simultaneous sensing from different directions is feasible. </w:t>
      </w:r>
    </w:p>
    <w:p w14:paraId="01620008" w14:textId="654AB391" w:rsidR="00C35A56" w:rsidRDefault="00F9013B" w:rsidP="00C35A56">
      <w:pPr>
        <w:keepNext/>
        <w:tabs>
          <w:tab w:val="left" w:pos="1300"/>
        </w:tabs>
        <w:jc w:val="center"/>
      </w:pPr>
      <w:r>
        <w:object w:dxaOrig="5566" w:dyaOrig="4981" w14:anchorId="593D3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62pt" o:ole="">
            <v:imagedata r:id="rId8" o:title=""/>
          </v:shape>
          <o:OLEObject Type="Embed" ProgID="Visio.Drawing.15" ShapeID="_x0000_i1025" DrawAspect="Content" ObjectID="_1689577116" r:id="rId9"/>
        </w:object>
      </w:r>
    </w:p>
    <w:p w14:paraId="27A7F5D2" w14:textId="42A029EF" w:rsidR="00C35A56" w:rsidRDefault="00C35A56" w:rsidP="00C35A56">
      <w:pPr>
        <w:pStyle w:val="Caption"/>
        <w:rPr>
          <w:lang w:val="en-US"/>
        </w:rPr>
      </w:pPr>
      <w:bookmarkStart w:id="5" w:name="_Ref68097897"/>
      <w:r>
        <w:t xml:space="preserve">Figure </w:t>
      </w:r>
      <w:r>
        <w:fldChar w:fldCharType="begin"/>
      </w:r>
      <w:r>
        <w:instrText xml:space="preserve"> SEQ Figure \* ARABIC </w:instrText>
      </w:r>
      <w:r>
        <w:fldChar w:fldCharType="separate"/>
      </w:r>
      <w:r w:rsidR="00EA293D">
        <w:rPr>
          <w:noProof/>
        </w:rPr>
        <w:t>1</w:t>
      </w:r>
      <w:r>
        <w:fldChar w:fldCharType="end"/>
      </w:r>
      <w:bookmarkEnd w:id="5"/>
      <w:r>
        <w:t xml:space="preserve"> Illustration of alternatives for SDM scenario.</w:t>
      </w:r>
    </w:p>
    <w:p w14:paraId="4F18C27A" w14:textId="6FCF8156" w:rsidR="00F9013B" w:rsidRPr="003161F7" w:rsidRDefault="00F9013B" w:rsidP="00F9013B">
      <w:pPr>
        <w:rPr>
          <w:rFonts w:cs="Times"/>
        </w:rPr>
      </w:pPr>
      <w:r>
        <w:rPr>
          <w:lang w:val="en-US"/>
        </w:rPr>
        <w:t xml:space="preserve">Meanwhile, the following alternatives with directional LBT for </w:t>
      </w:r>
      <w:r w:rsidRPr="003161F7">
        <w:rPr>
          <w:rFonts w:cs="Times"/>
        </w:rPr>
        <w:t>a COT with TDM of beams with beam switching</w:t>
      </w:r>
      <w:r>
        <w:rPr>
          <w:rFonts w:cs="Times"/>
        </w:rPr>
        <w:t xml:space="preserve"> were considered:</w:t>
      </w:r>
    </w:p>
    <w:p w14:paraId="03E98F80"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 xml:space="preserve">Alt 1: Single LBT sensing with wide beam ‘cover’ all beams to be used in the COT with appropriate ED threshold </w:t>
      </w:r>
    </w:p>
    <w:p w14:paraId="63A5868B"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Alt 2: Independent per-beam LBT sensing at the start of COT is performed for beams used in the COT</w:t>
      </w:r>
    </w:p>
    <w:p w14:paraId="60275E22"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lastRenderedPageBreak/>
        <w:t>Alt 3: Independent per-beam LBT sensing at the start of COT is performed for beams used in the COT with additional requirement on Cat 2 LBT before beam switch</w:t>
      </w:r>
    </w:p>
    <w:p w14:paraId="21ECC111" w14:textId="757F0160" w:rsidR="00D526DD" w:rsidRDefault="00C35A56" w:rsidP="00D526DD">
      <w:pPr>
        <w:tabs>
          <w:tab w:val="left" w:pos="1300"/>
        </w:tabs>
        <w:jc w:val="both"/>
        <w:rPr>
          <w:lang w:val="en-US"/>
        </w:rPr>
      </w:pPr>
      <w:r>
        <w:rPr>
          <w:lang w:val="en-US"/>
        </w:rPr>
        <w:t xml:space="preserve">An illustration of </w:t>
      </w:r>
      <w:r w:rsidR="00F9013B">
        <w:rPr>
          <w:lang w:val="en-US"/>
        </w:rPr>
        <w:t>alternatives</w:t>
      </w:r>
      <w:r>
        <w:rPr>
          <w:lang w:val="en-US"/>
        </w:rPr>
        <w:t xml:space="preserve"> is shown in </w:t>
      </w:r>
      <w:r>
        <w:rPr>
          <w:lang w:val="en-US"/>
        </w:rPr>
        <w:fldChar w:fldCharType="begin"/>
      </w:r>
      <w:r>
        <w:rPr>
          <w:lang w:val="en-US"/>
        </w:rPr>
        <w:instrText xml:space="preserve"> REF _Ref61596456 \h </w:instrText>
      </w:r>
      <w:r>
        <w:rPr>
          <w:lang w:val="en-US"/>
        </w:rPr>
      </w:r>
      <w:r>
        <w:rPr>
          <w:lang w:val="en-US"/>
        </w:rPr>
        <w:fldChar w:fldCharType="separate"/>
      </w:r>
      <w:r w:rsidR="00EA293D">
        <w:t xml:space="preserve">Figure </w:t>
      </w:r>
      <w:r w:rsidR="00EA293D">
        <w:rPr>
          <w:noProof/>
        </w:rPr>
        <w:t>2</w:t>
      </w:r>
      <w:r>
        <w:rPr>
          <w:lang w:val="en-US"/>
        </w:rPr>
        <w:fldChar w:fldCharType="end"/>
      </w:r>
      <w:r>
        <w:rPr>
          <w:lang w:val="en-US"/>
        </w:rPr>
        <w:t xml:space="preserve">. In addition to the discussion on the feasibility of simultaneous multi-directional sensing as in SDM scenario, </w:t>
      </w:r>
      <w:r w:rsidR="00D526DD">
        <w:rPr>
          <w:lang w:val="en-US"/>
        </w:rPr>
        <w:t xml:space="preserve">the selection between Alt </w:t>
      </w:r>
      <w:r w:rsidR="00F9013B">
        <w:rPr>
          <w:lang w:val="en-US"/>
        </w:rPr>
        <w:t>1/</w:t>
      </w:r>
      <w:r w:rsidR="00D526DD">
        <w:rPr>
          <w:lang w:val="en-US"/>
        </w:rPr>
        <w:t xml:space="preserve">2 and Alt 3 </w:t>
      </w:r>
      <w:r>
        <w:rPr>
          <w:lang w:val="en-US"/>
        </w:rPr>
        <w:t xml:space="preserve">also </w:t>
      </w:r>
      <w:r w:rsidR="00D526DD">
        <w:rPr>
          <w:lang w:val="en-US"/>
        </w:rPr>
        <w:t xml:space="preserve">depends on whether LBT is required for switching beams within a COT. If LBT is </w:t>
      </w:r>
      <w:r>
        <w:rPr>
          <w:lang w:val="en-US"/>
        </w:rPr>
        <w:t xml:space="preserve">supported </w:t>
      </w:r>
      <w:r w:rsidR="00D526DD">
        <w:rPr>
          <w:lang w:val="en-US"/>
        </w:rPr>
        <w:t>for switching beams within a COT, Alt 3 should be supported</w:t>
      </w:r>
      <w:r>
        <w:rPr>
          <w:lang w:val="en-US"/>
        </w:rPr>
        <w:t>, and the LBT within the COT can be Type 2 channel access procedure with fixed sending duration;</w:t>
      </w:r>
      <w:r w:rsidR="00D526DD">
        <w:rPr>
          <w:lang w:val="en-US"/>
        </w:rPr>
        <w:t xml:space="preserve"> otherwise, Alt </w:t>
      </w:r>
      <w:r w:rsidR="00FF1E16">
        <w:rPr>
          <w:lang w:val="en-US"/>
        </w:rPr>
        <w:t>1/</w:t>
      </w:r>
      <w:r w:rsidR="00D526DD">
        <w:rPr>
          <w:lang w:val="en-US"/>
        </w:rPr>
        <w:t xml:space="preserve">2 is sufficient to save the overhead for channel sensing. </w:t>
      </w:r>
    </w:p>
    <w:p w14:paraId="74470662" w14:textId="1823C015" w:rsidR="00D526DD" w:rsidRDefault="00F9013B" w:rsidP="00D526DD">
      <w:pPr>
        <w:tabs>
          <w:tab w:val="left" w:pos="1300"/>
        </w:tabs>
        <w:jc w:val="center"/>
      </w:pPr>
      <w:r>
        <w:object w:dxaOrig="5701" w:dyaOrig="8716" w14:anchorId="5F308E9B">
          <v:shape id="_x0000_i1026" type="#_x0000_t75" style="width:194.55pt;height:297.45pt" o:ole="">
            <v:imagedata r:id="rId10" o:title=""/>
          </v:shape>
          <o:OLEObject Type="Embed" ProgID="Visio.Drawing.15" ShapeID="_x0000_i1026" DrawAspect="Content" ObjectID="_1689577117" r:id="rId11"/>
        </w:object>
      </w:r>
    </w:p>
    <w:p w14:paraId="4E959BC6" w14:textId="2FC415D4" w:rsidR="00D526DD" w:rsidRDefault="00D526DD" w:rsidP="00D526DD">
      <w:pPr>
        <w:pStyle w:val="Caption"/>
        <w:rPr>
          <w:lang w:val="en-US"/>
        </w:rPr>
      </w:pPr>
      <w:bookmarkStart w:id="6" w:name="_Ref61596456"/>
      <w:r>
        <w:t xml:space="preserve">Figure </w:t>
      </w:r>
      <w:r>
        <w:fldChar w:fldCharType="begin"/>
      </w:r>
      <w:r>
        <w:instrText xml:space="preserve"> SEQ Figure \* ARABIC </w:instrText>
      </w:r>
      <w:r>
        <w:fldChar w:fldCharType="separate"/>
      </w:r>
      <w:r w:rsidR="00EA293D">
        <w:rPr>
          <w:noProof/>
        </w:rPr>
        <w:t>2</w:t>
      </w:r>
      <w:r>
        <w:fldChar w:fldCharType="end"/>
      </w:r>
      <w:bookmarkEnd w:id="6"/>
      <w:r>
        <w:t xml:space="preserve"> Illustration of alternatives for TDM scenario.</w:t>
      </w:r>
    </w:p>
    <w:p w14:paraId="74728DE7" w14:textId="67606C67" w:rsidR="00C35A56" w:rsidRPr="000D6DAD" w:rsidRDefault="00DC093C" w:rsidP="0086109D">
      <w:pPr>
        <w:tabs>
          <w:tab w:val="left" w:pos="1300"/>
        </w:tabs>
        <w:jc w:val="both"/>
        <w:rPr>
          <w:b/>
          <w:u w:val="single"/>
        </w:rPr>
      </w:pPr>
      <w:r>
        <w:rPr>
          <w:b/>
          <w:u w:val="single"/>
        </w:rPr>
        <w:t>Proposal 9</w:t>
      </w:r>
      <w:r w:rsidR="00905DEF" w:rsidRPr="00EC5B50">
        <w:rPr>
          <w:b/>
          <w:u w:val="single"/>
        </w:rPr>
        <w:t>:</w:t>
      </w:r>
      <w:r w:rsidR="0086109D">
        <w:rPr>
          <w:b/>
          <w:u w:val="single"/>
        </w:rPr>
        <w:t xml:space="preserve"> </w:t>
      </w:r>
      <w:r w:rsidR="00C35A56">
        <w:rPr>
          <w:b/>
          <w:u w:val="single"/>
        </w:rPr>
        <w:t>Support directional channel sensing in multi-beam operation:</w:t>
      </w:r>
    </w:p>
    <w:p w14:paraId="1FBC7FF6" w14:textId="0F642913" w:rsidR="00C35A56" w:rsidRDefault="00905DEF" w:rsidP="00B0672A">
      <w:pPr>
        <w:pStyle w:val="ListParagraph"/>
        <w:numPr>
          <w:ilvl w:val="0"/>
          <w:numId w:val="8"/>
        </w:numPr>
        <w:ind w:leftChars="0"/>
        <w:jc w:val="both"/>
        <w:rPr>
          <w:b/>
          <w:u w:val="single"/>
        </w:rPr>
      </w:pPr>
      <w:r>
        <w:rPr>
          <w:b/>
          <w:u w:val="single"/>
        </w:rPr>
        <w:t xml:space="preserve">For multi-beam SDM scenario, </w:t>
      </w:r>
      <w:r w:rsidR="00C35A56">
        <w:rPr>
          <w:b/>
          <w:u w:val="single"/>
        </w:rPr>
        <w:t xml:space="preserve">both </w:t>
      </w:r>
      <w:r>
        <w:rPr>
          <w:b/>
          <w:u w:val="single"/>
        </w:rPr>
        <w:t xml:space="preserve">Alt </w:t>
      </w:r>
      <w:r w:rsidR="00FF1E16">
        <w:rPr>
          <w:b/>
          <w:u w:val="single"/>
        </w:rPr>
        <w:t>1</w:t>
      </w:r>
      <w:r>
        <w:rPr>
          <w:b/>
          <w:u w:val="single"/>
        </w:rPr>
        <w:t xml:space="preserve"> and Alt </w:t>
      </w:r>
      <w:r w:rsidR="00FF1E16">
        <w:rPr>
          <w:b/>
          <w:u w:val="single"/>
        </w:rPr>
        <w:t>2</w:t>
      </w:r>
      <w:r>
        <w:rPr>
          <w:b/>
          <w:u w:val="single"/>
        </w:rPr>
        <w:t xml:space="preserve"> can be supported.</w:t>
      </w:r>
    </w:p>
    <w:p w14:paraId="6DD8A236" w14:textId="79D1A373" w:rsidR="00905DEF" w:rsidRDefault="00905DEF" w:rsidP="00B0672A">
      <w:pPr>
        <w:pStyle w:val="ListParagraph"/>
        <w:numPr>
          <w:ilvl w:val="0"/>
          <w:numId w:val="8"/>
        </w:numPr>
        <w:ind w:leftChars="0"/>
        <w:jc w:val="both"/>
        <w:rPr>
          <w:b/>
          <w:u w:val="single"/>
        </w:rPr>
      </w:pPr>
      <w:r>
        <w:rPr>
          <w:b/>
          <w:u w:val="single"/>
        </w:rPr>
        <w:t xml:space="preserve">For multi-beam TDM scenario, </w:t>
      </w:r>
      <w:r w:rsidR="00FF1E16">
        <w:rPr>
          <w:b/>
          <w:u w:val="single"/>
        </w:rPr>
        <w:t>Alt 1 can be supported as baseline, and selection between Alt 2 and Alt 3</w:t>
      </w:r>
      <w:r>
        <w:rPr>
          <w:b/>
          <w:u w:val="single"/>
        </w:rPr>
        <w:t xml:space="preserve"> </w:t>
      </w:r>
      <w:r w:rsidR="0072715A">
        <w:rPr>
          <w:b/>
          <w:u w:val="single"/>
        </w:rPr>
        <w:t>depend</w:t>
      </w:r>
      <w:r w:rsidR="00FF1E16">
        <w:rPr>
          <w:b/>
          <w:u w:val="single"/>
        </w:rPr>
        <w:t>s</w:t>
      </w:r>
      <w:r w:rsidR="0072715A">
        <w:rPr>
          <w:b/>
          <w:u w:val="single"/>
        </w:rPr>
        <w:t xml:space="preserve"> on whether </w:t>
      </w:r>
      <w:r>
        <w:rPr>
          <w:b/>
          <w:u w:val="single"/>
        </w:rPr>
        <w:t>sensing is required for switching beams within a COT.</w:t>
      </w:r>
    </w:p>
    <w:p w14:paraId="221A8A52" w14:textId="295E9C56" w:rsidR="0086109D" w:rsidRDefault="0086109D" w:rsidP="0086109D">
      <w:pPr>
        <w:tabs>
          <w:tab w:val="left" w:pos="1300"/>
        </w:tabs>
        <w:jc w:val="both"/>
        <w:rPr>
          <w:lang w:val="en-US"/>
        </w:rPr>
      </w:pPr>
      <w:r w:rsidRPr="0086109D">
        <w:rPr>
          <w:lang w:val="en-US"/>
        </w:rPr>
        <w:t xml:space="preserve">Moreover, in order to support Alt 2 for SDM scenario and Alt 2 or 3 for TDM scenario, independent per-beam LBT channel access procedure needs to be introduced. </w:t>
      </w:r>
      <w:r>
        <w:rPr>
          <w:lang w:val="en-US"/>
        </w:rPr>
        <w:t xml:space="preserve">The following alternatives were considered in the last meeting [1]: </w:t>
      </w:r>
    </w:p>
    <w:p w14:paraId="7E3F788C" w14:textId="77777777" w:rsidR="0086109D" w:rsidRDefault="0086109D" w:rsidP="00B0672A">
      <w:pPr>
        <w:pStyle w:val="ListParagraph"/>
        <w:numPr>
          <w:ilvl w:val="0"/>
          <w:numId w:val="13"/>
        </w:numPr>
        <w:overflowPunct w:val="0"/>
        <w:snapToGrid w:val="0"/>
        <w:spacing w:line="252" w:lineRule="auto"/>
        <w:ind w:leftChars="0"/>
        <w:rPr>
          <w:rFonts w:cs="Times"/>
        </w:rPr>
      </w:pPr>
      <w:r>
        <w:rPr>
          <w:rFonts w:cs="Times"/>
        </w:rPr>
        <w:t>Alt A: The per-beam LBT for different beams is performed one after another in time domain</w:t>
      </w:r>
    </w:p>
    <w:p w14:paraId="64008E31"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A-1: The node completes one eCCA on one beam, and directly move on to the eCCA on the other beam, with no transmission in the middle</w:t>
      </w:r>
    </w:p>
    <w:p w14:paraId="045BC70B"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A-2: The node completes one eCCA on one beam, start transmission with the beam to occupy the COT, then move on to the eCCA on the other beam</w:t>
      </w:r>
    </w:p>
    <w:p w14:paraId="4FEFB149"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A-3: The node performs eCCA of the different beams simultaneous, round robin between different beams</w:t>
      </w:r>
    </w:p>
    <w:p w14:paraId="39711184" w14:textId="77777777" w:rsidR="0086109D" w:rsidRDefault="0086109D" w:rsidP="00B0672A">
      <w:pPr>
        <w:pStyle w:val="ListParagraph"/>
        <w:numPr>
          <w:ilvl w:val="0"/>
          <w:numId w:val="13"/>
        </w:numPr>
        <w:overflowPunct w:val="0"/>
        <w:snapToGrid w:val="0"/>
        <w:spacing w:line="252" w:lineRule="auto"/>
        <w:ind w:leftChars="0"/>
        <w:rPr>
          <w:rFonts w:cs="Times"/>
        </w:rPr>
      </w:pPr>
      <w:r>
        <w:rPr>
          <w:rFonts w:cs="Times"/>
        </w:rPr>
        <w:t>Alt B: The per-beam LBT for different beams is performed simultaneously in parallel, assuming the node has the capability to simultaneously sense in different beams</w:t>
      </w:r>
    </w:p>
    <w:p w14:paraId="2DA06B41" w14:textId="11FAC3FF" w:rsidR="0086109D" w:rsidRPr="0086109D" w:rsidRDefault="0086109D" w:rsidP="0086109D">
      <w:pPr>
        <w:tabs>
          <w:tab w:val="left" w:pos="1300"/>
        </w:tabs>
        <w:jc w:val="both"/>
      </w:pPr>
      <w:r>
        <w:t xml:space="preserve">Both Alt A and Alt B can be supported, based on the node’s capability on simultaneously sensing, and can be up to its implementation to choose one of the alternatives. Within Alt A, Alt A-1 is the most straightforward way for implementing </w:t>
      </w:r>
      <w:r>
        <w:lastRenderedPageBreak/>
        <w:t>per-beam LBT, and should be supported as the basline. If Alt A-2 refers to the eCCA procedure before the COT, then it may require simultaneous transmission and reception of the node, which may cause interference to the sensing result, although the transmission and reception are for different directions, so this alternative is not preferred. Alt A-3 intends to minimize the delay between the completion of the per-</w:t>
      </w:r>
      <w:r w:rsidR="000E153F">
        <w:t xml:space="preserve">beam </w:t>
      </w:r>
      <w:r>
        <w:t xml:space="preserve">LBT procedures, but due to potentially different </w:t>
      </w:r>
      <w:r w:rsidR="000E153F">
        <w:t xml:space="preserve">backoff counter values (if supported), the per-beam LBT procedures may not be fully aligned, so the benefit from Alt A-3 is quite limited. </w:t>
      </w:r>
    </w:p>
    <w:p w14:paraId="6F473B56" w14:textId="5E2C3918" w:rsidR="0086109D" w:rsidRPr="000E153F" w:rsidRDefault="00DC093C" w:rsidP="0086109D">
      <w:pPr>
        <w:tabs>
          <w:tab w:val="left" w:pos="1300"/>
        </w:tabs>
        <w:jc w:val="both"/>
        <w:rPr>
          <w:b/>
          <w:u w:val="single"/>
          <w:lang w:val="en-US"/>
        </w:rPr>
      </w:pPr>
      <w:r>
        <w:rPr>
          <w:b/>
          <w:u w:val="single"/>
          <w:lang w:val="en-US"/>
        </w:rPr>
        <w:t>Proposal 10</w:t>
      </w:r>
      <w:r w:rsidR="000E153F" w:rsidRPr="000E153F">
        <w:rPr>
          <w:b/>
          <w:u w:val="single"/>
          <w:lang w:val="en-US"/>
        </w:rPr>
        <w:t>: For per-beam LBT for different beams</w:t>
      </w:r>
      <w:r w:rsidR="000E153F">
        <w:rPr>
          <w:b/>
          <w:u w:val="single"/>
          <w:lang w:val="en-US"/>
        </w:rPr>
        <w:t>,</w:t>
      </w:r>
    </w:p>
    <w:p w14:paraId="179819CE" w14:textId="1682DF5C" w:rsidR="000E153F" w:rsidRPr="000E153F" w:rsidRDefault="000E153F" w:rsidP="00B0672A">
      <w:pPr>
        <w:pStyle w:val="ListParagraph"/>
        <w:numPr>
          <w:ilvl w:val="0"/>
          <w:numId w:val="21"/>
        </w:numPr>
        <w:tabs>
          <w:tab w:val="left" w:pos="1300"/>
        </w:tabs>
        <w:ind w:leftChars="0"/>
        <w:jc w:val="both"/>
        <w:rPr>
          <w:b/>
          <w:u w:val="single"/>
          <w:lang w:val="en-US"/>
        </w:rPr>
      </w:pPr>
      <w:r w:rsidRPr="000E153F">
        <w:rPr>
          <w:b/>
          <w:u w:val="single"/>
          <w:lang w:val="en-US"/>
        </w:rPr>
        <w:t xml:space="preserve">Support both Alt A and Alt B, and up to implementation to </w:t>
      </w:r>
      <w:r>
        <w:rPr>
          <w:b/>
          <w:u w:val="single"/>
          <w:lang w:val="en-US"/>
        </w:rPr>
        <w:t>choose between Alt A and Alt B.</w:t>
      </w:r>
    </w:p>
    <w:p w14:paraId="721619AB" w14:textId="72D0DA7A" w:rsidR="000E153F" w:rsidRPr="000E153F" w:rsidRDefault="000E153F" w:rsidP="00B0672A">
      <w:pPr>
        <w:pStyle w:val="ListParagraph"/>
        <w:numPr>
          <w:ilvl w:val="0"/>
          <w:numId w:val="21"/>
        </w:numPr>
        <w:tabs>
          <w:tab w:val="left" w:pos="1300"/>
        </w:tabs>
        <w:ind w:leftChars="0"/>
        <w:jc w:val="both"/>
        <w:rPr>
          <w:b/>
          <w:u w:val="single"/>
          <w:lang w:val="en-US"/>
        </w:rPr>
      </w:pPr>
      <w:r w:rsidRPr="000E153F">
        <w:rPr>
          <w:b/>
          <w:u w:val="single"/>
          <w:lang w:val="en-US"/>
        </w:rPr>
        <w:t>Within Alt A, s</w:t>
      </w:r>
      <w:r>
        <w:rPr>
          <w:b/>
          <w:u w:val="single"/>
          <w:lang w:val="en-US"/>
        </w:rPr>
        <w:t>upport Alt A-1 as the baseline.</w:t>
      </w:r>
    </w:p>
    <w:bookmarkEnd w:id="4"/>
    <w:p w14:paraId="2BC529AB" w14:textId="1326A9C7" w:rsidR="0028289A" w:rsidRDefault="00CE5ECF"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RX-assistant LBT</w:t>
      </w:r>
    </w:p>
    <w:p w14:paraId="2941B63E" w14:textId="77777777" w:rsidR="00EC5B50" w:rsidRPr="00EC5B50" w:rsidRDefault="00EC5B50" w:rsidP="00EC5B50">
      <w:pPr>
        <w:tabs>
          <w:tab w:val="left" w:pos="1300"/>
        </w:tabs>
        <w:jc w:val="both"/>
        <w:rPr>
          <w:lang w:val="en-US"/>
        </w:rPr>
      </w:pPr>
      <w:r w:rsidRPr="00EC5B50">
        <w:rPr>
          <w:lang w:val="en-US"/>
        </w:rPr>
        <w:t xml:space="preserve">In general, a potential transmission in the unlicensed band can be granted channel access if the following two conditions are 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transmitter side can only approximately satisfy </w:t>
      </w:r>
      <w:r w:rsidRPr="00EC5B50">
        <w:rPr>
          <w:rFonts w:hint="eastAsia"/>
          <w:lang w:val="en-US"/>
        </w:rPr>
        <w:t>both</w:t>
      </w:r>
      <w:r w:rsidRPr="00EC5B50">
        <w:rPr>
          <w:lang w:val="en-US"/>
        </w:rPr>
        <w:t xml:space="preserve"> conditions. </w:t>
      </w:r>
    </w:p>
    <w:p w14:paraId="2AFD4539" w14:textId="43C20CFB" w:rsidR="00EC5B50" w:rsidRPr="00EC5B50" w:rsidRDefault="00EC5B50" w:rsidP="00EC5B50">
      <w:pPr>
        <w:tabs>
          <w:tab w:val="left" w:pos="1300"/>
        </w:tabs>
        <w:jc w:val="both"/>
        <w:rPr>
          <w:lang w:val="en-US"/>
        </w:rPr>
      </w:pPr>
      <w:r w:rsidRPr="00EC5B50">
        <w:rPr>
          <w:lang w:val="en-US"/>
        </w:rPr>
        <w:t xml:space="preserve">A general approach to satisfy both condition (1) and condition (2) is through supporting a </w:t>
      </w:r>
      <w:r w:rsidR="00905DEF">
        <w:rPr>
          <w:lang w:val="en-US"/>
        </w:rPr>
        <w:t>dynamic</w:t>
      </w:r>
      <w:r w:rsidRPr="00EC5B50">
        <w:rPr>
          <w:lang w:val="en-US"/>
        </w:rPr>
        <w:t xml:space="preserve"> handshak</w:t>
      </w:r>
      <w:r w:rsidR="00905DEF">
        <w:rPr>
          <w:lang w:val="en-US"/>
        </w:rPr>
        <w:t xml:space="preserve">e mechanism between gNB and UE. </w:t>
      </w:r>
      <w:r w:rsidRPr="00EC5B50">
        <w:rPr>
          <w:lang w:val="en-US"/>
        </w:rPr>
        <w:t>The handshake betwee</w:t>
      </w:r>
      <w:r w:rsidR="00905DEF">
        <w:rPr>
          <w:lang w:val="en-US"/>
        </w:rPr>
        <w:t xml:space="preserve">n gNB and UE can be including a </w:t>
      </w:r>
      <w:r w:rsidR="00EA4C90">
        <w:rPr>
          <w:lang w:val="en-US"/>
        </w:rPr>
        <w:t>dynamic</w:t>
      </w:r>
      <w:r w:rsidRPr="00EC5B50">
        <w:rPr>
          <w:lang w:val="en-US"/>
        </w:rPr>
        <w:t xml:space="preserve"> exchange of a channel access request (CARQ) and a channel access response (CARP). Specifically, CARQ and CARP can be message-based</w:t>
      </w:r>
      <w:r w:rsidR="00905DEF">
        <w:rPr>
          <w:lang w:val="en-US"/>
        </w:rPr>
        <w:t xml:space="preserve"> (e.g. DCI and UCI based, correspondingly, in a downlink scenario)</w:t>
      </w:r>
      <w:r w:rsidRPr="00EC5B50">
        <w:rPr>
          <w:lang w:val="en-US"/>
        </w:rPr>
        <w:t xml:space="preserve">, wherein the CARQ can be transmitted by the potential transmitter upon </w:t>
      </w:r>
      <w:r w:rsidR="009148B7">
        <w:rPr>
          <w:lang w:val="en-US"/>
        </w:rPr>
        <w:t xml:space="preserve">a </w:t>
      </w:r>
      <w:r w:rsidRPr="00EC5B50">
        <w:rPr>
          <w:lang w:val="en-US"/>
        </w:rPr>
        <w:t>successful LBT; and the CARP can be transmitted by the receiver upon receiving CARQ and after successful LBT (e.g., single-shot LBT</w:t>
      </w:r>
      <w:r w:rsidR="009148B7">
        <w:rPr>
          <w:lang w:val="en-US"/>
        </w:rPr>
        <w:t xml:space="preserve"> with zero or positive sensing duration</w:t>
      </w:r>
      <w:r w:rsidRPr="00EC5B50">
        <w:rPr>
          <w:lang w:val="en-US"/>
        </w:rPr>
        <w:t xml:space="preserve">). The CARQ (CARP) message can include the following information: the indicator for CARQ (CARP), the transmitter (receiver) identity, transmitter (receiver) beam direction information, the maximum channel occupancy time (MCOT), etc. </w:t>
      </w:r>
      <w:r w:rsidR="00905DEF">
        <w:rPr>
          <w:lang w:val="en-US"/>
        </w:rPr>
        <w:fldChar w:fldCharType="begin"/>
      </w:r>
      <w:r w:rsidR="00905DEF">
        <w:rPr>
          <w:lang w:val="en-US"/>
        </w:rPr>
        <w:instrText xml:space="preserve"> REF _Ref61440116 \h </w:instrText>
      </w:r>
      <w:r w:rsidR="00905DEF">
        <w:rPr>
          <w:lang w:val="en-US"/>
        </w:rPr>
      </w:r>
      <w:r w:rsidR="00905DEF">
        <w:rPr>
          <w:lang w:val="en-US"/>
        </w:rPr>
        <w:fldChar w:fldCharType="separate"/>
      </w:r>
      <w:r w:rsidR="00EA293D">
        <w:t xml:space="preserve">Figure </w:t>
      </w:r>
      <w:r w:rsidR="00EA293D">
        <w:rPr>
          <w:noProof/>
        </w:rPr>
        <w:t>3</w:t>
      </w:r>
      <w:r w:rsidR="00905DEF">
        <w:rPr>
          <w:lang w:val="en-US"/>
        </w:rPr>
        <w:fldChar w:fldCharType="end"/>
      </w:r>
      <w:r w:rsidR="00905DEF">
        <w:rPr>
          <w:lang w:val="en-US"/>
        </w:rPr>
        <w:t xml:space="preserve"> </w:t>
      </w:r>
      <w:r w:rsidRPr="00EC5B50">
        <w:rPr>
          <w:lang w:val="en-US"/>
        </w:rPr>
        <w:t xml:space="preserve">illustrates an example of the LBT with </w:t>
      </w:r>
      <w:r w:rsidR="00905DEF">
        <w:rPr>
          <w:lang w:val="en-US"/>
        </w:rPr>
        <w:t xml:space="preserve">dynamic </w:t>
      </w:r>
      <w:r w:rsidRPr="00EC5B50">
        <w:rPr>
          <w:lang w:val="en-US"/>
        </w:rPr>
        <w:t xml:space="preserve">handshake mechanism </w:t>
      </w:r>
      <w:r w:rsidR="009148B7">
        <w:rPr>
          <w:lang w:val="en-US"/>
        </w:rPr>
        <w:t>in</w:t>
      </w:r>
      <w:r w:rsidR="009148B7" w:rsidRPr="00EC5B50">
        <w:rPr>
          <w:lang w:val="en-US"/>
        </w:rPr>
        <w:t xml:space="preserve"> </w:t>
      </w:r>
      <w:r w:rsidRPr="00EC5B50">
        <w:rPr>
          <w:lang w:val="en-US"/>
        </w:rPr>
        <w:t xml:space="preserve">a downlink transmission. </w:t>
      </w:r>
    </w:p>
    <w:p w14:paraId="515574CC" w14:textId="77777777" w:rsidR="00EC5B50" w:rsidRPr="006D1FC0" w:rsidRDefault="00EC5B50" w:rsidP="00EC5B50">
      <w:pPr>
        <w:spacing w:after="0"/>
        <w:ind w:firstLineChars="193" w:firstLine="386"/>
        <w:jc w:val="both"/>
      </w:pPr>
    </w:p>
    <w:p w14:paraId="076FB34A" w14:textId="5FA44E75" w:rsidR="00EC5B50" w:rsidRDefault="00D526DD" w:rsidP="00EC5B50">
      <w:pPr>
        <w:keepNext/>
        <w:spacing w:after="0" w:line="288" w:lineRule="auto"/>
        <w:jc w:val="center"/>
      </w:pPr>
      <w:r>
        <w:object w:dxaOrig="9856" w:dyaOrig="3091" w14:anchorId="45BFF9C7">
          <v:shape id="_x0000_i1027" type="#_x0000_t75" style="width:357pt;height:112.7pt" o:ole="">
            <v:imagedata r:id="rId12" o:title=""/>
          </v:shape>
          <o:OLEObject Type="Embed" ProgID="Visio.Drawing.15" ShapeID="_x0000_i1027" DrawAspect="Content" ObjectID="_1689577118" r:id="rId13"/>
        </w:object>
      </w:r>
    </w:p>
    <w:p w14:paraId="566E8ED3" w14:textId="786B00CA" w:rsidR="00EC5B50" w:rsidRPr="006D1FC0" w:rsidRDefault="00EC5B50" w:rsidP="00EC5B50">
      <w:pPr>
        <w:pStyle w:val="Caption"/>
      </w:pPr>
      <w:bookmarkStart w:id="7" w:name="_Ref61440116"/>
      <w:r>
        <w:t xml:space="preserve">Figure </w:t>
      </w:r>
      <w:r>
        <w:fldChar w:fldCharType="begin"/>
      </w:r>
      <w:r>
        <w:instrText xml:space="preserve"> SEQ Figure \* ARABIC </w:instrText>
      </w:r>
      <w:r>
        <w:fldChar w:fldCharType="separate"/>
      </w:r>
      <w:r w:rsidR="00EA293D">
        <w:rPr>
          <w:noProof/>
        </w:rPr>
        <w:t>3</w:t>
      </w:r>
      <w:r>
        <w:fldChar w:fldCharType="end"/>
      </w:r>
      <w:bookmarkEnd w:id="7"/>
      <w:r>
        <w:t xml:space="preserve"> </w:t>
      </w:r>
      <w:r w:rsidRPr="006D1FC0">
        <w:t>Example of LBT with CARQ/CARP exchange before a downlink transmission.</w:t>
      </w:r>
    </w:p>
    <w:p w14:paraId="6C468B1B" w14:textId="09C66AA0" w:rsidR="00D92732" w:rsidRDefault="00EC5B50" w:rsidP="00905DEF">
      <w:pPr>
        <w:tabs>
          <w:tab w:val="left" w:pos="1300"/>
        </w:tabs>
        <w:jc w:val="both"/>
        <w:rPr>
          <w:b/>
          <w:u w:val="single"/>
        </w:rPr>
      </w:pPr>
      <w:r w:rsidRPr="00905DEF">
        <w:rPr>
          <w:b/>
          <w:u w:val="single"/>
        </w:rPr>
        <w:t xml:space="preserve">Proposal </w:t>
      </w:r>
      <w:r w:rsidR="00DC093C">
        <w:rPr>
          <w:b/>
          <w:u w:val="single"/>
        </w:rPr>
        <w:t>11</w:t>
      </w:r>
      <w:r w:rsidRPr="00905DEF">
        <w:rPr>
          <w:b/>
          <w:u w:val="single"/>
        </w:rPr>
        <w:t xml:space="preserve">: Support </w:t>
      </w:r>
      <w:r w:rsidR="00905DEF" w:rsidRPr="00905DEF">
        <w:rPr>
          <w:b/>
          <w:u w:val="single"/>
        </w:rPr>
        <w:t xml:space="preserve">dynamic RX-assistant </w:t>
      </w:r>
      <w:r w:rsidRPr="00905DEF">
        <w:rPr>
          <w:b/>
          <w:u w:val="single"/>
        </w:rPr>
        <w:t>channel access mechanism with handshake b</w:t>
      </w:r>
      <w:r w:rsidR="00905DEF">
        <w:rPr>
          <w:b/>
          <w:u w:val="single"/>
        </w:rPr>
        <w:t>etween transmitter and receiver</w:t>
      </w:r>
      <w:r w:rsidR="00D92732">
        <w:rPr>
          <w:b/>
          <w:u w:val="single"/>
        </w:rPr>
        <w:t>:</w:t>
      </w:r>
    </w:p>
    <w:p w14:paraId="4C73D3ED" w14:textId="58E1DF76" w:rsidR="00EC5B50" w:rsidRPr="00D92732" w:rsidRDefault="00905DEF" w:rsidP="00D92732">
      <w:pPr>
        <w:pStyle w:val="ListParagraph"/>
        <w:numPr>
          <w:ilvl w:val="0"/>
          <w:numId w:val="23"/>
        </w:numPr>
        <w:tabs>
          <w:tab w:val="left" w:pos="1300"/>
        </w:tabs>
        <w:ind w:leftChars="0"/>
        <w:jc w:val="both"/>
        <w:rPr>
          <w:b/>
          <w:u w:val="single"/>
        </w:rPr>
      </w:pPr>
      <w:r w:rsidRPr="00D92732">
        <w:rPr>
          <w:b/>
          <w:u w:val="single"/>
        </w:rPr>
        <w:t>the channel access request is based on DCI and channel access response is based on UCI in a downlink scenario.</w:t>
      </w:r>
    </w:p>
    <w:p w14:paraId="1E024A48" w14:textId="06D726FD" w:rsidR="00D92732" w:rsidRPr="00D92732" w:rsidRDefault="00D92732" w:rsidP="00D92732">
      <w:pPr>
        <w:pStyle w:val="ListParagraph"/>
        <w:numPr>
          <w:ilvl w:val="0"/>
          <w:numId w:val="22"/>
        </w:numPr>
        <w:tabs>
          <w:tab w:val="left" w:pos="1300"/>
        </w:tabs>
        <w:ind w:leftChars="0"/>
        <w:jc w:val="both"/>
        <w:rPr>
          <w:b/>
          <w:u w:val="single"/>
        </w:rPr>
      </w:pPr>
      <w:r>
        <w:rPr>
          <w:b/>
          <w:u w:val="single"/>
        </w:rPr>
        <w:t>the assistant information is based on CCA.</w:t>
      </w:r>
    </w:p>
    <w:p w14:paraId="723CFCDE" w14:textId="390B9C4D" w:rsidR="0072715A" w:rsidRDefault="0072715A" w:rsidP="0072715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RSSI Measurement</w:t>
      </w:r>
    </w:p>
    <w:p w14:paraId="3E26392E" w14:textId="5FB3286F" w:rsidR="0072715A" w:rsidRDefault="0072715A" w:rsidP="00905DEF">
      <w:pPr>
        <w:tabs>
          <w:tab w:val="left" w:pos="1300"/>
        </w:tabs>
        <w:jc w:val="both"/>
        <w:rPr>
          <w:lang w:val="en-US"/>
        </w:rPr>
      </w:pPr>
      <w:r w:rsidRPr="00EC5B50">
        <w:rPr>
          <w:lang w:val="en-US"/>
        </w:rPr>
        <w:t xml:space="preserve">In </w:t>
      </w:r>
      <w:r>
        <w:rPr>
          <w:lang w:val="en-US"/>
        </w:rPr>
        <w:t>Rel-16 NR-U, RSSI measurement is supported to acquire the interference information of the channel, which provides the basis for channel selection (e.g. DFS), wherein the RSSI measurement is only applicable to active DL BWP. For Rel-17, 60 GHz has a much wider channel bandwidth than 5 or 6 GHz unlicensed band, and the LBT bandwidth could be significantly smaller than the maximum carrier bandwidth</w:t>
      </w:r>
      <w:r w:rsidR="00C631C5">
        <w:rPr>
          <w:lang w:val="en-US"/>
        </w:rPr>
        <w:t xml:space="preserve"> (although the detail of LBT bandwidth is still under discussion). Hence, there could be scenario that some frequency range (e.g. either a BWP or a carrier) without UE scheduled in its corresponding active BWP. Then, the Rel-16 RSSI measurement is not sufficient to </w:t>
      </w:r>
      <w:r>
        <w:rPr>
          <w:lang w:val="en-US"/>
        </w:rPr>
        <w:t xml:space="preserve">acquire a full knowledge of the </w:t>
      </w:r>
      <w:r>
        <w:rPr>
          <w:lang w:val="en-US"/>
        </w:rPr>
        <w:lastRenderedPageBreak/>
        <w:t xml:space="preserve">interference situation over the whole wide band, </w:t>
      </w:r>
      <w:r w:rsidR="00C631C5">
        <w:rPr>
          <w:lang w:val="en-US"/>
        </w:rPr>
        <w:t xml:space="preserve">and </w:t>
      </w:r>
      <w:r>
        <w:rPr>
          <w:lang w:val="en-US"/>
        </w:rPr>
        <w:t xml:space="preserve">it is beneficial to generalize the Rel-16 RSSI measurement to outside the active BWP and even in a non-serving cell. </w:t>
      </w:r>
    </w:p>
    <w:p w14:paraId="07163259" w14:textId="233A361F" w:rsidR="0072715A" w:rsidRPr="0072715A" w:rsidRDefault="00D65339" w:rsidP="00905DEF">
      <w:pPr>
        <w:tabs>
          <w:tab w:val="left" w:pos="1300"/>
        </w:tabs>
        <w:jc w:val="both"/>
        <w:rPr>
          <w:b/>
          <w:u w:val="single"/>
          <w:lang w:val="en-US"/>
        </w:rPr>
      </w:pPr>
      <w:r>
        <w:rPr>
          <w:b/>
          <w:u w:val="single"/>
          <w:lang w:val="en-US"/>
        </w:rPr>
        <w:t xml:space="preserve">Proposal </w:t>
      </w:r>
      <w:r w:rsidR="00DC093C">
        <w:rPr>
          <w:b/>
          <w:u w:val="single"/>
          <w:lang w:val="en-US"/>
        </w:rPr>
        <w:t>12</w:t>
      </w:r>
      <w:r w:rsidR="0072715A">
        <w:rPr>
          <w:b/>
          <w:u w:val="single"/>
          <w:lang w:val="en-US"/>
        </w:rPr>
        <w:t>: Support RSSI measurement outside the active BWP and in non-serving cell.</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618AC177" w14:textId="77777777" w:rsidR="00D92732" w:rsidRDefault="00D92732" w:rsidP="00D92732">
      <w:pPr>
        <w:jc w:val="both"/>
        <w:rPr>
          <w:b/>
          <w:u w:val="single"/>
          <w:lang w:val="en-US"/>
        </w:rPr>
      </w:pPr>
      <w:r>
        <w:rPr>
          <w:b/>
          <w:u w:val="single"/>
          <w:lang w:val="en-US"/>
        </w:rPr>
        <w:t>P</w:t>
      </w:r>
      <w:r w:rsidRPr="003514BC">
        <w:rPr>
          <w:b/>
          <w:u w:val="single"/>
          <w:lang w:val="en-US"/>
        </w:rPr>
        <w:t xml:space="preserve">roposal 1: </w:t>
      </w:r>
      <w:r w:rsidRPr="004756A0">
        <w:rPr>
          <w:b/>
          <w:u w:val="single"/>
          <w:lang w:val="en-US"/>
        </w:rPr>
        <w:t>For regions where LBT is not mandated</w:t>
      </w:r>
      <w:r>
        <w:rPr>
          <w:b/>
          <w:u w:val="single"/>
          <w:lang w:val="en-US"/>
        </w:rPr>
        <w:t>,</w:t>
      </w:r>
    </w:p>
    <w:p w14:paraId="232CC9F9" w14:textId="77777777" w:rsidR="00D92732" w:rsidRPr="00AE5484" w:rsidRDefault="00D92732" w:rsidP="00D92732">
      <w:pPr>
        <w:pStyle w:val="ListParagraph"/>
        <w:numPr>
          <w:ilvl w:val="0"/>
          <w:numId w:val="17"/>
        </w:numPr>
        <w:ind w:leftChars="0"/>
        <w:jc w:val="both"/>
        <w:rPr>
          <w:b/>
          <w:u w:val="single"/>
          <w:lang w:val="en-US"/>
        </w:rPr>
      </w:pPr>
      <w:r>
        <w:rPr>
          <w:b/>
          <w:u w:val="single"/>
          <w:lang w:val="en-US"/>
        </w:rPr>
        <w:t xml:space="preserve">the cell-specific indication is a group of mode pairs, </w:t>
      </w:r>
      <w:r w:rsidRPr="005F3015">
        <w:rPr>
          <w:b/>
          <w:u w:val="single"/>
          <w:lang w:val="en-US"/>
        </w:rPr>
        <w:t>wherein each mode pair defines the modes of gNB and UE for a particular beam</w:t>
      </w:r>
      <w:r w:rsidRPr="00AE5484">
        <w:rPr>
          <w:b/>
          <w:u w:val="single"/>
          <w:lang w:val="en-US"/>
        </w:rPr>
        <w:t>;</w:t>
      </w:r>
    </w:p>
    <w:p w14:paraId="084D23D6" w14:textId="58BDD51C" w:rsidR="00D92732" w:rsidRPr="00AE5484" w:rsidRDefault="00D92732" w:rsidP="00D92732">
      <w:pPr>
        <w:pStyle w:val="ListParagraph"/>
        <w:numPr>
          <w:ilvl w:val="0"/>
          <w:numId w:val="17"/>
        </w:numPr>
        <w:ind w:leftChars="0"/>
        <w:jc w:val="both"/>
        <w:rPr>
          <w:b/>
          <w:u w:val="single"/>
          <w:lang w:val="en-US"/>
        </w:rPr>
      </w:pPr>
      <w:r>
        <w:rPr>
          <w:b/>
          <w:u w:val="single"/>
          <w:lang w:val="en-US"/>
        </w:rPr>
        <w:t xml:space="preserve">the UE-specific indication is a </w:t>
      </w:r>
      <w:r w:rsidR="00842BD0">
        <w:rPr>
          <w:b/>
          <w:u w:val="single"/>
          <w:lang w:val="en-US"/>
        </w:rPr>
        <w:t>mode pair;</w:t>
      </w:r>
    </w:p>
    <w:p w14:paraId="12647C12" w14:textId="33F88246" w:rsidR="00D92732" w:rsidRDefault="00D92732" w:rsidP="00D92732">
      <w:pPr>
        <w:pStyle w:val="ListParagraph"/>
        <w:numPr>
          <w:ilvl w:val="0"/>
          <w:numId w:val="17"/>
        </w:numPr>
        <w:ind w:leftChars="0"/>
        <w:jc w:val="both"/>
        <w:rPr>
          <w:b/>
          <w:u w:val="single"/>
          <w:lang w:val="en-US"/>
        </w:rPr>
      </w:pPr>
      <w:r w:rsidRPr="00AE5484">
        <w:rPr>
          <w:b/>
          <w:u w:val="single"/>
          <w:lang w:val="en-US"/>
        </w:rPr>
        <w:t>gNB determines its oper</w:t>
      </w:r>
      <w:r>
        <w:rPr>
          <w:b/>
          <w:u w:val="single"/>
          <w:lang w:val="en-US"/>
        </w:rPr>
        <w:t>ation mode up to implementation.</w:t>
      </w:r>
    </w:p>
    <w:p w14:paraId="03A0A313" w14:textId="77777777" w:rsidR="00D92732" w:rsidRPr="00D92732" w:rsidRDefault="00D92732" w:rsidP="00D92732">
      <w:pPr>
        <w:jc w:val="both"/>
        <w:rPr>
          <w:b/>
          <w:lang w:eastAsia="ja-JP"/>
        </w:rPr>
      </w:pPr>
      <w:r w:rsidRPr="00D92732">
        <w:rPr>
          <w:b/>
          <w:u w:val="single"/>
          <w:lang w:eastAsia="ja-JP"/>
        </w:rPr>
        <w:t>Proposal 2: For LBT bandwidth, support Alt SC.1 + CA.1 + CA.2 as the first preference, and SC.3 + CA.5 as the second preference.</w:t>
      </w:r>
      <w:r w:rsidRPr="00D92732">
        <w:rPr>
          <w:b/>
          <w:lang w:eastAsia="ja-JP"/>
        </w:rPr>
        <w:t xml:space="preserve"> </w:t>
      </w:r>
    </w:p>
    <w:p w14:paraId="772D13B2" w14:textId="77777777" w:rsidR="00D92732" w:rsidRPr="008B47A3" w:rsidRDefault="00D92732" w:rsidP="00D92732">
      <w:pPr>
        <w:jc w:val="both"/>
        <w:rPr>
          <w:b/>
          <w:u w:val="single"/>
          <w:lang w:val="en-US"/>
        </w:rPr>
      </w:pPr>
      <w:r w:rsidRPr="008B47A3">
        <w:rPr>
          <w:b/>
          <w:u w:val="single"/>
          <w:lang w:val="en-US"/>
        </w:rPr>
        <w:t>Proposal 3: For sensing structure, confirm the working assumption from RAN1#104b-e, and support single energy measurement w</w:t>
      </w:r>
      <w:r>
        <w:rPr>
          <w:b/>
          <w:u w:val="single"/>
          <w:lang w:val="en-US"/>
        </w:rPr>
        <w:t>ithin the 8 us deferral period.</w:t>
      </w:r>
    </w:p>
    <w:p w14:paraId="53DEC694" w14:textId="77777777" w:rsidR="00D92732" w:rsidRPr="00C63B00" w:rsidRDefault="00D92732" w:rsidP="00D92732">
      <w:pPr>
        <w:tabs>
          <w:tab w:val="left" w:pos="1300"/>
        </w:tabs>
        <w:jc w:val="both"/>
        <w:rPr>
          <w:b/>
          <w:u w:val="single"/>
        </w:rPr>
      </w:pPr>
      <w:r w:rsidRPr="00C63B00">
        <w:rPr>
          <w:b/>
          <w:u w:val="single"/>
        </w:rPr>
        <w:t xml:space="preserve">Proposal </w:t>
      </w:r>
      <w:r>
        <w:rPr>
          <w:b/>
          <w:u w:val="single"/>
        </w:rPr>
        <w:t>4</w:t>
      </w:r>
      <w:r w:rsidRPr="00C63B00">
        <w:rPr>
          <w:b/>
          <w:u w:val="single"/>
        </w:rPr>
        <w:t>: Support the following types of channel access procedures for 60 GHz unlicensed band:</w:t>
      </w:r>
    </w:p>
    <w:p w14:paraId="2474F1EF" w14:textId="77777777" w:rsidR="00D92732" w:rsidRPr="00C63B00" w:rsidRDefault="00D92732" w:rsidP="00D92732">
      <w:pPr>
        <w:pStyle w:val="ListParagraph"/>
        <w:numPr>
          <w:ilvl w:val="0"/>
          <w:numId w:val="8"/>
        </w:numPr>
        <w:ind w:leftChars="0"/>
        <w:jc w:val="both"/>
        <w:rPr>
          <w:b/>
          <w:u w:val="single"/>
          <w:lang w:val="en-US"/>
        </w:rPr>
      </w:pPr>
      <w:r w:rsidRPr="00C63B00">
        <w:rPr>
          <w:b/>
          <w:u w:val="single"/>
          <w:lang w:val="en-US"/>
        </w:rPr>
        <w:t>Type 1 channel access procedure without CWS adaptation;</w:t>
      </w:r>
    </w:p>
    <w:p w14:paraId="35723352" w14:textId="77777777" w:rsidR="00D92732" w:rsidRPr="00C63B00" w:rsidRDefault="00D92732" w:rsidP="00D92732">
      <w:pPr>
        <w:pStyle w:val="ListParagraph"/>
        <w:numPr>
          <w:ilvl w:val="0"/>
          <w:numId w:val="8"/>
        </w:numPr>
        <w:ind w:leftChars="0"/>
        <w:jc w:val="both"/>
        <w:rPr>
          <w:b/>
          <w:u w:val="single"/>
          <w:lang w:val="en-US"/>
        </w:rPr>
      </w:pPr>
      <w:r w:rsidRPr="00C63B00">
        <w:rPr>
          <w:b/>
          <w:u w:val="single"/>
          <w:lang w:val="en-US"/>
        </w:rPr>
        <w:t>Type 2 channel access procedure with zero and p</w:t>
      </w:r>
      <w:r>
        <w:rPr>
          <w:b/>
          <w:u w:val="single"/>
          <w:lang w:val="en-US"/>
        </w:rPr>
        <w:t>ositive fixed sensing duration.</w:t>
      </w:r>
    </w:p>
    <w:p w14:paraId="7D7CC5B0" w14:textId="77777777" w:rsidR="00D92732" w:rsidRPr="00D92732" w:rsidRDefault="00D92732" w:rsidP="00D92732">
      <w:pPr>
        <w:tabs>
          <w:tab w:val="left" w:pos="1300"/>
        </w:tabs>
        <w:jc w:val="both"/>
        <w:rPr>
          <w:b/>
          <w:u w:val="single"/>
        </w:rPr>
      </w:pPr>
      <w:r w:rsidRPr="00D92732">
        <w:rPr>
          <w:b/>
          <w:u w:val="single"/>
        </w:rPr>
        <w:t>Proposal 5: No need to define CAPC for 60 GHz unlicensed band.</w:t>
      </w:r>
    </w:p>
    <w:p w14:paraId="6D2EF6D2" w14:textId="77777777" w:rsidR="00D92732" w:rsidRPr="008A7500" w:rsidRDefault="00D92732" w:rsidP="00D92732">
      <w:pPr>
        <w:tabs>
          <w:tab w:val="left" w:pos="1300"/>
        </w:tabs>
        <w:jc w:val="both"/>
        <w:rPr>
          <w:b/>
          <w:u w:val="single"/>
        </w:rPr>
      </w:pPr>
      <w:r>
        <w:rPr>
          <w:b/>
          <w:u w:val="single"/>
        </w:rPr>
        <w:t>Proposal 6</w:t>
      </w:r>
      <w:r w:rsidRPr="008A7500">
        <w:rPr>
          <w:b/>
          <w:u w:val="single"/>
        </w:rPr>
        <w:t>: ED threshold should depend on</w:t>
      </w:r>
      <w:r>
        <w:rPr>
          <w:b/>
          <w:u w:val="single"/>
        </w:rPr>
        <w:t>:</w:t>
      </w:r>
    </w:p>
    <w:p w14:paraId="3DBFCA47" w14:textId="77777777" w:rsidR="00D92732" w:rsidRPr="008A7500" w:rsidRDefault="00D92732" w:rsidP="00D92732">
      <w:pPr>
        <w:pStyle w:val="ListParagraph"/>
        <w:numPr>
          <w:ilvl w:val="0"/>
          <w:numId w:val="8"/>
        </w:numPr>
        <w:ind w:leftChars="0"/>
        <w:jc w:val="both"/>
        <w:rPr>
          <w:b/>
          <w:u w:val="single"/>
          <w:lang w:val="en-US"/>
        </w:rPr>
      </w:pPr>
      <w:r w:rsidRPr="008A7500">
        <w:rPr>
          <w:b/>
          <w:u w:val="single"/>
          <w:lang w:val="en-US"/>
        </w:rPr>
        <w:t>Whether other technology sharing the channel is absent or not on a long-term basis</w:t>
      </w:r>
      <w:r>
        <w:rPr>
          <w:b/>
          <w:u w:val="single"/>
          <w:lang w:val="en-US"/>
        </w:rPr>
        <w:t>;</w:t>
      </w:r>
    </w:p>
    <w:p w14:paraId="01BFE688" w14:textId="77777777" w:rsidR="00D92732" w:rsidRPr="008A7500" w:rsidRDefault="00D92732" w:rsidP="00D92732">
      <w:pPr>
        <w:pStyle w:val="ListParagraph"/>
        <w:numPr>
          <w:ilvl w:val="0"/>
          <w:numId w:val="8"/>
        </w:numPr>
        <w:ind w:leftChars="0"/>
        <w:jc w:val="both"/>
        <w:rPr>
          <w:b/>
          <w:u w:val="single"/>
          <w:lang w:val="en-US"/>
        </w:rPr>
      </w:pPr>
      <w:r w:rsidRPr="008A7500">
        <w:rPr>
          <w:b/>
          <w:u w:val="single"/>
          <w:lang w:val="en-US"/>
        </w:rPr>
        <w:t>LBT bandwidth</w:t>
      </w:r>
      <w:r>
        <w:rPr>
          <w:b/>
          <w:u w:val="single"/>
          <w:lang w:val="en-US"/>
        </w:rPr>
        <w:t xml:space="preserve"> (which is operation channel bandwidth in regulation);</w:t>
      </w:r>
    </w:p>
    <w:p w14:paraId="39FB8FA0" w14:textId="77777777" w:rsidR="00D92732" w:rsidRPr="008A7500" w:rsidRDefault="00D92732" w:rsidP="00D92732">
      <w:pPr>
        <w:pStyle w:val="ListParagraph"/>
        <w:numPr>
          <w:ilvl w:val="0"/>
          <w:numId w:val="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498614CF" w14:textId="77777777" w:rsidR="00D92732" w:rsidRPr="00A863FA" w:rsidRDefault="00D92732" w:rsidP="00D92732">
      <w:pPr>
        <w:tabs>
          <w:tab w:val="left" w:pos="1300"/>
        </w:tabs>
        <w:jc w:val="both"/>
        <w:rPr>
          <w:b/>
          <w:u w:val="single"/>
        </w:rPr>
      </w:pPr>
      <w:r>
        <w:rPr>
          <w:b/>
          <w:u w:val="single"/>
        </w:rPr>
        <w:t>Proposal 7</w:t>
      </w:r>
      <w:r w:rsidRPr="00A863FA">
        <w:rPr>
          <w:b/>
          <w:u w:val="single"/>
        </w:rPr>
        <w:t>: For “short control signal</w:t>
      </w:r>
      <w:r>
        <w:rPr>
          <w:b/>
          <w:u w:val="single"/>
        </w:rPr>
        <w:t>ling</w:t>
      </w:r>
      <w:r w:rsidRPr="00A863FA">
        <w:rPr>
          <w:b/>
          <w:u w:val="single"/>
        </w:rPr>
        <w:t>”:</w:t>
      </w:r>
    </w:p>
    <w:p w14:paraId="37D933D3" w14:textId="77777777" w:rsidR="00D92732" w:rsidRPr="00377B6E" w:rsidRDefault="00D92732" w:rsidP="00D92732">
      <w:pPr>
        <w:pStyle w:val="ListParagraph"/>
        <w:numPr>
          <w:ilvl w:val="0"/>
          <w:numId w:val="8"/>
        </w:numPr>
        <w:ind w:leftChars="0"/>
        <w:jc w:val="both"/>
        <w:rPr>
          <w:b/>
          <w:u w:val="single"/>
          <w:lang w:val="en-US"/>
        </w:rPr>
      </w:pPr>
      <w:r>
        <w:rPr>
          <w:b/>
          <w:u w:val="single"/>
          <w:lang w:val="en-US"/>
        </w:rPr>
        <w:t>support at least discovery burst as part of the short control signalling;</w:t>
      </w:r>
    </w:p>
    <w:p w14:paraId="22A5EB56" w14:textId="77777777" w:rsidR="00D92732" w:rsidRPr="00A863FA" w:rsidRDefault="00D92732" w:rsidP="00D92732">
      <w:pPr>
        <w:pStyle w:val="ListParagraph"/>
        <w:numPr>
          <w:ilvl w:val="0"/>
          <w:numId w:val="8"/>
        </w:numPr>
        <w:ind w:leftChars="0"/>
        <w:jc w:val="both"/>
        <w:rPr>
          <w:b/>
          <w:u w:val="single"/>
          <w:lang w:val="en-US"/>
        </w:rPr>
      </w:pPr>
      <w:r>
        <w:rPr>
          <w:b/>
          <w:u w:val="single"/>
          <w:lang w:val="en-US"/>
        </w:rPr>
        <w:t>s</w:t>
      </w:r>
      <w:r w:rsidRPr="00A863FA">
        <w:rPr>
          <w:b/>
          <w:u w:val="single"/>
          <w:lang w:val="en-US"/>
        </w:rPr>
        <w:t>upport limitation on the duty cycle to use “short control signal</w:t>
      </w:r>
      <w:r>
        <w:rPr>
          <w:b/>
          <w:u w:val="single"/>
          <w:lang w:val="en-US"/>
        </w:rPr>
        <w:t>ling</w:t>
      </w:r>
      <w:r w:rsidRPr="00A863FA">
        <w:rPr>
          <w:b/>
          <w:u w:val="single"/>
          <w:lang w:val="en-US"/>
        </w:rPr>
        <w:t xml:space="preserve">”, wherein the duty cycle are defined from the </w:t>
      </w:r>
      <w:r>
        <w:rPr>
          <w:b/>
          <w:u w:val="single"/>
          <w:lang w:val="en-US"/>
        </w:rPr>
        <w:t>perspective of a node.</w:t>
      </w:r>
    </w:p>
    <w:p w14:paraId="3B63484E" w14:textId="77777777" w:rsidR="00D92732" w:rsidRDefault="00D92732" w:rsidP="00D92732">
      <w:pPr>
        <w:tabs>
          <w:tab w:val="left" w:pos="1300"/>
        </w:tabs>
        <w:jc w:val="both"/>
        <w:rPr>
          <w:b/>
          <w:u w:val="single"/>
        </w:rPr>
      </w:pPr>
      <w:r>
        <w:rPr>
          <w:b/>
          <w:u w:val="single"/>
        </w:rPr>
        <w:t>Proposal 8:</w:t>
      </w:r>
    </w:p>
    <w:p w14:paraId="6AD9B6D1" w14:textId="77777777" w:rsidR="00D92732" w:rsidRPr="00B66673" w:rsidRDefault="00D92732" w:rsidP="00D92732">
      <w:pPr>
        <w:pStyle w:val="ListParagraph"/>
        <w:numPr>
          <w:ilvl w:val="0"/>
          <w:numId w:val="20"/>
        </w:numPr>
        <w:tabs>
          <w:tab w:val="left" w:pos="1300"/>
        </w:tabs>
        <w:ind w:leftChars="0"/>
        <w:jc w:val="both"/>
        <w:rPr>
          <w:b/>
          <w:u w:val="single"/>
        </w:rPr>
      </w:pPr>
      <w:r w:rsidRPr="00B66673">
        <w:rPr>
          <w:b/>
          <w:u w:val="single"/>
        </w:rPr>
        <w:t>Support extending the beam correspondence framework and/or QCL/TCI framework to define “cover” (Alt 2)</w:t>
      </w:r>
      <w:r>
        <w:rPr>
          <w:b/>
          <w:u w:val="single"/>
        </w:rPr>
        <w:t>;</w:t>
      </w:r>
    </w:p>
    <w:p w14:paraId="3D477200" w14:textId="77777777" w:rsidR="00D92732" w:rsidRPr="00B66673" w:rsidRDefault="00D92732" w:rsidP="00D92732">
      <w:pPr>
        <w:pStyle w:val="ListParagraph"/>
        <w:numPr>
          <w:ilvl w:val="0"/>
          <w:numId w:val="19"/>
        </w:numPr>
        <w:tabs>
          <w:tab w:val="left" w:pos="1300"/>
        </w:tabs>
        <w:ind w:leftChars="0"/>
        <w:jc w:val="both"/>
        <w:rPr>
          <w:b/>
          <w:u w:val="single"/>
        </w:rPr>
      </w:pPr>
      <w:r>
        <w:rPr>
          <w:b/>
          <w:u w:val="single"/>
        </w:rPr>
        <w:t xml:space="preserve">Support </w:t>
      </w:r>
      <w:r w:rsidRPr="00B66673">
        <w:rPr>
          <w:b/>
          <w:u w:val="single"/>
        </w:rPr>
        <w:t>a new type of QCL assumption to define the sensing beam covering the transmission beam</w:t>
      </w:r>
      <w:r>
        <w:rPr>
          <w:b/>
          <w:u w:val="single"/>
        </w:rPr>
        <w:t>.</w:t>
      </w:r>
    </w:p>
    <w:p w14:paraId="381EE89B" w14:textId="77777777" w:rsidR="00D92732" w:rsidRPr="000D6DAD" w:rsidRDefault="00D92732" w:rsidP="00D92732">
      <w:pPr>
        <w:tabs>
          <w:tab w:val="left" w:pos="1300"/>
        </w:tabs>
        <w:jc w:val="both"/>
        <w:rPr>
          <w:b/>
          <w:u w:val="single"/>
        </w:rPr>
      </w:pPr>
      <w:r>
        <w:rPr>
          <w:b/>
          <w:u w:val="single"/>
        </w:rPr>
        <w:t>Proposal 9</w:t>
      </w:r>
      <w:r w:rsidRPr="00EC5B50">
        <w:rPr>
          <w:b/>
          <w:u w:val="single"/>
        </w:rPr>
        <w:t>:</w:t>
      </w:r>
      <w:r>
        <w:rPr>
          <w:b/>
          <w:u w:val="single"/>
        </w:rPr>
        <w:t xml:space="preserve"> Support directional channel sensing in multi-beam operation:</w:t>
      </w:r>
    </w:p>
    <w:p w14:paraId="14CE5C00" w14:textId="77777777" w:rsidR="00D92732" w:rsidRDefault="00D92732" w:rsidP="00D92732">
      <w:pPr>
        <w:pStyle w:val="ListParagraph"/>
        <w:numPr>
          <w:ilvl w:val="0"/>
          <w:numId w:val="8"/>
        </w:numPr>
        <w:ind w:leftChars="0"/>
        <w:jc w:val="both"/>
        <w:rPr>
          <w:b/>
          <w:u w:val="single"/>
        </w:rPr>
      </w:pPr>
      <w:r>
        <w:rPr>
          <w:b/>
          <w:u w:val="single"/>
        </w:rPr>
        <w:t>For multi-beam SDM scenario, both Alt 1 and Alt 2 can be supported.</w:t>
      </w:r>
    </w:p>
    <w:p w14:paraId="4BAC2FBC" w14:textId="77777777" w:rsidR="00D92732" w:rsidRDefault="00D92732" w:rsidP="00D92732">
      <w:pPr>
        <w:pStyle w:val="ListParagraph"/>
        <w:numPr>
          <w:ilvl w:val="0"/>
          <w:numId w:val="8"/>
        </w:numPr>
        <w:ind w:leftChars="0"/>
        <w:jc w:val="both"/>
        <w:rPr>
          <w:b/>
          <w:u w:val="single"/>
        </w:rPr>
      </w:pPr>
      <w:r>
        <w:rPr>
          <w:b/>
          <w:u w:val="single"/>
        </w:rPr>
        <w:t>For multi-beam TDM scenario, Alt 1 can be supported as baseline, and selection between Alt 2 and Alt 3 depends on whether sensing is required for switching beams within a COT.</w:t>
      </w:r>
    </w:p>
    <w:p w14:paraId="631AA65F" w14:textId="77777777" w:rsidR="00D92732" w:rsidRPr="000E153F" w:rsidRDefault="00D92732" w:rsidP="00D92732">
      <w:pPr>
        <w:tabs>
          <w:tab w:val="left" w:pos="1300"/>
        </w:tabs>
        <w:jc w:val="both"/>
        <w:rPr>
          <w:b/>
          <w:u w:val="single"/>
          <w:lang w:val="en-US"/>
        </w:rPr>
      </w:pPr>
      <w:r>
        <w:rPr>
          <w:b/>
          <w:u w:val="single"/>
          <w:lang w:val="en-US"/>
        </w:rPr>
        <w:t>Proposal 10</w:t>
      </w:r>
      <w:r w:rsidRPr="000E153F">
        <w:rPr>
          <w:b/>
          <w:u w:val="single"/>
          <w:lang w:val="en-US"/>
        </w:rPr>
        <w:t>: For per-beam LBT for different beams</w:t>
      </w:r>
      <w:r>
        <w:rPr>
          <w:b/>
          <w:u w:val="single"/>
          <w:lang w:val="en-US"/>
        </w:rPr>
        <w:t>,</w:t>
      </w:r>
    </w:p>
    <w:p w14:paraId="106D67A7" w14:textId="77777777" w:rsidR="00D92732" w:rsidRPr="000E153F" w:rsidRDefault="00D92732" w:rsidP="00D92732">
      <w:pPr>
        <w:pStyle w:val="ListParagraph"/>
        <w:numPr>
          <w:ilvl w:val="0"/>
          <w:numId w:val="21"/>
        </w:numPr>
        <w:tabs>
          <w:tab w:val="left" w:pos="1300"/>
        </w:tabs>
        <w:ind w:leftChars="0"/>
        <w:jc w:val="both"/>
        <w:rPr>
          <w:b/>
          <w:u w:val="single"/>
          <w:lang w:val="en-US"/>
        </w:rPr>
      </w:pPr>
      <w:r w:rsidRPr="000E153F">
        <w:rPr>
          <w:b/>
          <w:u w:val="single"/>
          <w:lang w:val="en-US"/>
        </w:rPr>
        <w:t xml:space="preserve">Support both Alt A and Alt B, and up to implementation to </w:t>
      </w:r>
      <w:r>
        <w:rPr>
          <w:b/>
          <w:u w:val="single"/>
          <w:lang w:val="en-US"/>
        </w:rPr>
        <w:t>choose between Alt A and Alt B.</w:t>
      </w:r>
    </w:p>
    <w:p w14:paraId="502E1CAD" w14:textId="77777777" w:rsidR="00D92732" w:rsidRPr="000E153F" w:rsidRDefault="00D92732" w:rsidP="00D92732">
      <w:pPr>
        <w:pStyle w:val="ListParagraph"/>
        <w:numPr>
          <w:ilvl w:val="0"/>
          <w:numId w:val="21"/>
        </w:numPr>
        <w:tabs>
          <w:tab w:val="left" w:pos="1300"/>
        </w:tabs>
        <w:ind w:leftChars="0"/>
        <w:jc w:val="both"/>
        <w:rPr>
          <w:b/>
          <w:u w:val="single"/>
          <w:lang w:val="en-US"/>
        </w:rPr>
      </w:pPr>
      <w:r w:rsidRPr="000E153F">
        <w:rPr>
          <w:b/>
          <w:u w:val="single"/>
          <w:lang w:val="en-US"/>
        </w:rPr>
        <w:t>Within Alt A, s</w:t>
      </w:r>
      <w:r>
        <w:rPr>
          <w:b/>
          <w:u w:val="single"/>
          <w:lang w:val="en-US"/>
        </w:rPr>
        <w:t>upport Alt A-1 as the baseline.</w:t>
      </w:r>
    </w:p>
    <w:p w14:paraId="0B2289C1" w14:textId="77777777" w:rsidR="00D92732" w:rsidRDefault="00D92732" w:rsidP="00D92732">
      <w:pPr>
        <w:tabs>
          <w:tab w:val="left" w:pos="1300"/>
        </w:tabs>
        <w:jc w:val="both"/>
        <w:rPr>
          <w:b/>
          <w:u w:val="single"/>
        </w:rPr>
      </w:pPr>
      <w:r w:rsidRPr="00905DEF">
        <w:rPr>
          <w:b/>
          <w:u w:val="single"/>
        </w:rPr>
        <w:lastRenderedPageBreak/>
        <w:t xml:space="preserve">Proposal </w:t>
      </w:r>
      <w:r>
        <w:rPr>
          <w:b/>
          <w:u w:val="single"/>
        </w:rPr>
        <w:t>11</w:t>
      </w:r>
      <w:r w:rsidRPr="00905DEF">
        <w:rPr>
          <w:b/>
          <w:u w:val="single"/>
        </w:rPr>
        <w:t>: Support dynamic RX-assistant channel access mechanism with handshake b</w:t>
      </w:r>
      <w:r>
        <w:rPr>
          <w:b/>
          <w:u w:val="single"/>
        </w:rPr>
        <w:t>etween transmitter and receiver:</w:t>
      </w:r>
    </w:p>
    <w:p w14:paraId="470B6ACF" w14:textId="77777777" w:rsidR="00D92732" w:rsidRPr="00D92732" w:rsidRDefault="00D92732" w:rsidP="00D92732">
      <w:pPr>
        <w:pStyle w:val="ListParagraph"/>
        <w:numPr>
          <w:ilvl w:val="0"/>
          <w:numId w:val="23"/>
        </w:numPr>
        <w:tabs>
          <w:tab w:val="left" w:pos="1300"/>
        </w:tabs>
        <w:ind w:leftChars="0"/>
        <w:jc w:val="both"/>
        <w:rPr>
          <w:b/>
          <w:u w:val="single"/>
        </w:rPr>
      </w:pPr>
      <w:r w:rsidRPr="00D92732">
        <w:rPr>
          <w:b/>
          <w:u w:val="single"/>
        </w:rPr>
        <w:t>the channel access request is based on DCI and channel access response is based on UCI in a downlink scenario.</w:t>
      </w:r>
    </w:p>
    <w:p w14:paraId="1C0D5BCC" w14:textId="2E2F2B61" w:rsidR="00D92732" w:rsidRDefault="00D92732" w:rsidP="00D92732">
      <w:pPr>
        <w:pStyle w:val="ListParagraph"/>
        <w:numPr>
          <w:ilvl w:val="0"/>
          <w:numId w:val="22"/>
        </w:numPr>
        <w:tabs>
          <w:tab w:val="left" w:pos="1300"/>
        </w:tabs>
        <w:ind w:leftChars="0"/>
        <w:jc w:val="both"/>
        <w:rPr>
          <w:b/>
          <w:u w:val="single"/>
        </w:rPr>
      </w:pPr>
      <w:r>
        <w:rPr>
          <w:b/>
          <w:u w:val="single"/>
        </w:rPr>
        <w:t>the assistant information is based on CCA.</w:t>
      </w:r>
    </w:p>
    <w:p w14:paraId="3118D449" w14:textId="77777777" w:rsidR="00D92732" w:rsidRPr="00D92732" w:rsidRDefault="00D92732" w:rsidP="00D92732">
      <w:pPr>
        <w:tabs>
          <w:tab w:val="left" w:pos="1300"/>
        </w:tabs>
        <w:jc w:val="both"/>
        <w:rPr>
          <w:b/>
          <w:u w:val="single"/>
          <w:lang w:val="en-US"/>
        </w:rPr>
      </w:pPr>
      <w:r w:rsidRPr="00D92732">
        <w:rPr>
          <w:b/>
          <w:u w:val="single"/>
          <w:lang w:val="en-US"/>
        </w:rPr>
        <w:t>Proposal 12: Support RSSI measurement outside the active BWP and in non-serving cell.</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1E7866" w14:textId="7A23252C" w:rsidR="00786192" w:rsidRPr="00F34076" w:rsidRDefault="00786192" w:rsidP="00786192">
      <w:pPr>
        <w:rPr>
          <w:lang w:val="en-US" w:eastAsia="ja-JP"/>
        </w:rPr>
      </w:pPr>
      <w:r>
        <w:rPr>
          <w:lang w:val="en-US" w:eastAsia="ja-JP"/>
        </w:rPr>
        <w:t>[1] Chairman notes</w:t>
      </w:r>
      <w:r w:rsidR="00247677">
        <w:rPr>
          <w:lang w:val="en-US" w:eastAsia="ja-JP"/>
        </w:rPr>
        <w:t>, 3GPP</w:t>
      </w:r>
      <w:r w:rsidR="007B2FB6">
        <w:rPr>
          <w:lang w:val="en-US" w:eastAsia="ja-JP"/>
        </w:rPr>
        <w:t xml:space="preserve"> RAN1#105</w:t>
      </w:r>
      <w:r>
        <w:rPr>
          <w:lang w:val="en-US" w:eastAsia="ja-JP"/>
        </w:rPr>
        <w:t>-e</w:t>
      </w:r>
      <w:r w:rsidR="00247677">
        <w:rPr>
          <w:lang w:val="en-US" w:eastAsia="ja-JP"/>
        </w:rPr>
        <w:t xml:space="preserve">, </w:t>
      </w:r>
      <w:r w:rsidR="007B2FB6">
        <w:rPr>
          <w:lang w:val="en-US" w:eastAsia="ja-JP"/>
        </w:rPr>
        <w:t>May,</w:t>
      </w:r>
      <w:r w:rsidR="00247677">
        <w:rPr>
          <w:lang w:val="en-US" w:eastAsia="ja-JP"/>
        </w:rPr>
        <w:t xml:space="preserve"> 2021</w:t>
      </w:r>
      <w:r>
        <w:rPr>
          <w:lang w:val="en-US" w:eastAsia="ja-JP"/>
        </w:rPr>
        <w:t xml:space="preserve">.  </w:t>
      </w:r>
    </w:p>
    <w:p w14:paraId="45C689A8" w14:textId="702BE5DE" w:rsidR="00F34076" w:rsidRDefault="00F34076" w:rsidP="00786192">
      <w:pPr>
        <w:rPr>
          <w:lang w:val="en-US" w:eastAsia="ja-JP"/>
        </w:rPr>
      </w:pPr>
    </w:p>
    <w:sectPr w:rsidR="00F34076"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7F763" w14:textId="77777777" w:rsidR="009660DC" w:rsidRDefault="009660DC" w:rsidP="00083046">
      <w:r>
        <w:separator/>
      </w:r>
    </w:p>
  </w:endnote>
  <w:endnote w:type="continuationSeparator" w:id="0">
    <w:p w14:paraId="6C2632B6" w14:textId="77777777" w:rsidR="009660DC" w:rsidRDefault="009660D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C17D9" w14:textId="77777777" w:rsidR="009660DC" w:rsidRDefault="009660DC" w:rsidP="00083046">
      <w:r>
        <w:separator/>
      </w:r>
    </w:p>
  </w:footnote>
  <w:footnote w:type="continuationSeparator" w:id="0">
    <w:p w14:paraId="7B864EA6" w14:textId="77777777" w:rsidR="009660DC" w:rsidRDefault="009660D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A8546D"/>
    <w:multiLevelType w:val="hybridMultilevel"/>
    <w:tmpl w:val="1EE0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C2126"/>
    <w:multiLevelType w:val="hybridMultilevel"/>
    <w:tmpl w:val="D8F8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43626FA"/>
    <w:multiLevelType w:val="hybridMultilevel"/>
    <w:tmpl w:val="F8F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272992"/>
    <w:multiLevelType w:val="hybridMultilevel"/>
    <w:tmpl w:val="EF00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E76912"/>
    <w:multiLevelType w:val="hybridMultilevel"/>
    <w:tmpl w:val="54BA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524134"/>
    <w:multiLevelType w:val="hybridMultilevel"/>
    <w:tmpl w:val="310AB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F50B62"/>
    <w:multiLevelType w:val="hybridMultilevel"/>
    <w:tmpl w:val="B2DE8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6"/>
  </w:num>
  <w:num w:numId="3">
    <w:abstractNumId w:val="13"/>
  </w:num>
  <w:num w:numId="4">
    <w:abstractNumId w:val="20"/>
  </w:num>
  <w:num w:numId="5">
    <w:abstractNumId w:val="8"/>
  </w:num>
  <w:num w:numId="6">
    <w:abstractNumId w:val="22"/>
  </w:num>
  <w:num w:numId="7">
    <w:abstractNumId w:val="10"/>
  </w:num>
  <w:num w:numId="8">
    <w:abstractNumId w:val="21"/>
  </w:num>
  <w:num w:numId="9">
    <w:abstractNumId w:val="0"/>
    <w:lvlOverride w:ilvl="0">
      <w:startOverride w:val="1"/>
    </w:lvlOverride>
  </w:num>
  <w:num w:numId="10">
    <w:abstractNumId w:val="15"/>
  </w:num>
  <w:num w:numId="11">
    <w:abstractNumId w:val="9"/>
  </w:num>
  <w:num w:numId="12">
    <w:abstractNumId w:val="2"/>
  </w:num>
  <w:num w:numId="13">
    <w:abstractNumId w:val="11"/>
  </w:num>
  <w:num w:numId="14">
    <w:abstractNumId w:val="18"/>
  </w:num>
  <w:num w:numId="15">
    <w:abstractNumId w:val="1"/>
  </w:num>
  <w:num w:numId="16">
    <w:abstractNumId w:val="17"/>
  </w:num>
  <w:num w:numId="17">
    <w:abstractNumId w:val="19"/>
  </w:num>
  <w:num w:numId="18">
    <w:abstractNumId w:val="4"/>
  </w:num>
  <w:num w:numId="19">
    <w:abstractNumId w:val="5"/>
  </w:num>
  <w:num w:numId="20">
    <w:abstractNumId w:val="12"/>
  </w:num>
  <w:num w:numId="21">
    <w:abstractNumId w:val="7"/>
  </w:num>
  <w:num w:numId="22">
    <w:abstractNumId w:val="14"/>
  </w:num>
  <w:num w:numId="2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1AD"/>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5BD"/>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9E9"/>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53F"/>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2AB"/>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559"/>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677"/>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B6E"/>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F5A"/>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29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D9D"/>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6A0"/>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E3"/>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2694"/>
    <w:rsid w:val="00503668"/>
    <w:rsid w:val="0050367A"/>
    <w:rsid w:val="00503993"/>
    <w:rsid w:val="00503F9D"/>
    <w:rsid w:val="00504021"/>
    <w:rsid w:val="005043DE"/>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15"/>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1986"/>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1E0"/>
    <w:rsid w:val="007853A8"/>
    <w:rsid w:val="007854A5"/>
    <w:rsid w:val="0078569F"/>
    <w:rsid w:val="00785802"/>
    <w:rsid w:val="007858E7"/>
    <w:rsid w:val="00786192"/>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01"/>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2FB6"/>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2BD0"/>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09D"/>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7A3"/>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23FD"/>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60DC"/>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A7F93"/>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A40"/>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63E7"/>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CE6"/>
    <w:rsid w:val="00A96ED7"/>
    <w:rsid w:val="00A9778A"/>
    <w:rsid w:val="00A97967"/>
    <w:rsid w:val="00AA0185"/>
    <w:rsid w:val="00AA04A0"/>
    <w:rsid w:val="00AA07F5"/>
    <w:rsid w:val="00AA0BD9"/>
    <w:rsid w:val="00AA0CE0"/>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72A"/>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95"/>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673"/>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1FD5"/>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22A1"/>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24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732"/>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093C"/>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16F"/>
    <w:rsid w:val="00E1137D"/>
    <w:rsid w:val="00E11BD7"/>
    <w:rsid w:val="00E11D4C"/>
    <w:rsid w:val="00E11EBF"/>
    <w:rsid w:val="00E12451"/>
    <w:rsid w:val="00E12736"/>
    <w:rsid w:val="00E13494"/>
    <w:rsid w:val="00E13802"/>
    <w:rsid w:val="00E1384C"/>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93D"/>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B7FE6"/>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6BA4"/>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8A8"/>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3B"/>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1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出段落,列"/>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9"/>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10"/>
      </w:numPr>
      <w:tabs>
        <w:tab w:val="num" w:pos="360"/>
      </w:tabs>
      <w:ind w:left="0" w:firstLine="0"/>
      <w:contextualSpacing/>
    </w:pPr>
  </w:style>
  <w:style w:type="character" w:customStyle="1" w:styleId="discussionpointChar">
    <w:name w:val="discussion point Char"/>
    <w:link w:val="discussionpoint"/>
    <w:locked/>
    <w:rsid w:val="007851E0"/>
    <w:rPr>
      <w:rFonts w:ascii="Batang" w:hAnsi="Batang"/>
    </w:rPr>
  </w:style>
  <w:style w:type="paragraph" w:customStyle="1" w:styleId="discussionpoint">
    <w:name w:val="discussion point"/>
    <w:basedOn w:val="Normal"/>
    <w:link w:val="discussionpointChar"/>
    <w:rsid w:val="007851E0"/>
    <w:pPr>
      <w:overflowPunct w:val="0"/>
      <w:autoSpaceDE w:val="0"/>
      <w:autoSpaceDN w:val="0"/>
      <w:snapToGrid w:val="0"/>
      <w:spacing w:after="60" w:line="252" w:lineRule="auto"/>
      <w:jc w:val="both"/>
    </w:pPr>
    <w:rPr>
      <w:rFonts w:ascii="Batang" w:eastAsia="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2DFE8-4AD7-4472-A152-7F6E9A8E3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3925</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2021-04-05T04:10:00Z</dcterms:created>
  <dcterms:modified xsi:type="dcterms:W3CDTF">2021-08-04T14:56:00Z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